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D852E" w14:textId="77777777" w:rsidR="00133886" w:rsidRPr="00BA4F7F" w:rsidRDefault="00133886" w:rsidP="00133886">
      <w:pPr>
        <w:pBdr>
          <w:bottom w:val="single" w:sz="18" w:space="8" w:color="B58B3A"/>
        </w:pBdr>
        <w:spacing w:before="840" w:line="259" w:lineRule="auto"/>
        <w:jc w:val="center"/>
      </w:pPr>
      <w:r w:rsidRPr="00BA4F7F">
        <w:rPr>
          <w:rFonts w:ascii="Aptos Display" w:hAnsi="Aptos Display"/>
          <w:b/>
          <w:color w:val="173A55"/>
          <w:sz w:val="56"/>
        </w:rPr>
        <w:t xml:space="preserve">INDEKS RACJI STANU </w:t>
      </w:r>
    </w:p>
    <w:p w14:paraId="53DAEC43" w14:textId="77777777" w:rsidR="00133886" w:rsidRPr="00BA4F7F" w:rsidRDefault="002F4F09" w:rsidP="00133886">
      <w:pPr>
        <w:spacing w:before="200" w:line="259" w:lineRule="auto"/>
        <w:jc w:val="center"/>
      </w:pPr>
      <w:r>
        <w:rPr>
          <w:rFonts w:ascii="Aptos Display" w:hAnsi="Aptos Display"/>
          <w:b/>
          <w:color w:val="B58B3A"/>
          <w:sz w:val="36"/>
        </w:rPr>
        <w:t xml:space="preserve">NOWY </w:t>
      </w:r>
      <w:r w:rsidR="007225DD">
        <w:rPr>
          <w:rFonts w:ascii="Aptos Display" w:hAnsi="Aptos Display"/>
          <w:b/>
          <w:color w:val="B58B3A"/>
          <w:sz w:val="36"/>
        </w:rPr>
        <w:t xml:space="preserve">WSKAŹNIK </w:t>
      </w:r>
      <w:r>
        <w:rPr>
          <w:rFonts w:ascii="Aptos Display" w:hAnsi="Aptos Display"/>
          <w:b/>
          <w:color w:val="B58B3A"/>
          <w:sz w:val="36"/>
        </w:rPr>
        <w:t>ANALIZY STRATEGICZNEJ</w:t>
      </w:r>
      <w:r w:rsidR="00C34CB5">
        <w:rPr>
          <w:rFonts w:ascii="Aptos Display" w:hAnsi="Aptos Display"/>
          <w:b/>
          <w:color w:val="B58B3A"/>
          <w:sz w:val="36"/>
        </w:rPr>
        <w:t xml:space="preserve"> PAŃSTWA</w:t>
      </w:r>
    </w:p>
    <w:p w14:paraId="10A699D0" w14:textId="77777777" w:rsidR="00133886" w:rsidRPr="00BA4F7F" w:rsidRDefault="002F4F09" w:rsidP="00133886">
      <w:pPr>
        <w:spacing w:before="140" w:line="259" w:lineRule="auto"/>
        <w:jc w:val="center"/>
      </w:pPr>
      <w:r>
        <w:rPr>
          <w:rFonts w:ascii="Aptos" w:hAnsi="Aptos"/>
          <w:color w:val="5B6870"/>
          <w:sz w:val="23"/>
        </w:rPr>
        <w:t xml:space="preserve">Diagnoza zdolności </w:t>
      </w:r>
      <w:r w:rsidR="00133886">
        <w:rPr>
          <w:rFonts w:ascii="Aptos" w:hAnsi="Aptos"/>
          <w:color w:val="5B6870"/>
          <w:sz w:val="23"/>
        </w:rPr>
        <w:t>Rzeczypospolitej</w:t>
      </w:r>
      <w:r w:rsidR="00133886" w:rsidRPr="00BA4F7F">
        <w:rPr>
          <w:rFonts w:ascii="Aptos" w:hAnsi="Aptos"/>
          <w:color w:val="5B6870"/>
          <w:sz w:val="23"/>
        </w:rPr>
        <w:t xml:space="preserve"> </w:t>
      </w:r>
    </w:p>
    <w:p w14:paraId="62678160" w14:textId="77777777" w:rsidR="003357E9" w:rsidRPr="00BA4F7F" w:rsidRDefault="003357E9">
      <w:pPr>
        <w:spacing w:after="0"/>
        <w:jc w:val="center"/>
      </w:pPr>
    </w:p>
    <w:p w14:paraId="37DB1E49" w14:textId="77777777" w:rsidR="0099377A" w:rsidRPr="00BA4F7F" w:rsidRDefault="0099377A">
      <w:pPr>
        <w:spacing w:after="0"/>
        <w:jc w:val="center"/>
      </w:pPr>
    </w:p>
    <w:p w14:paraId="6C25AB43" w14:textId="77777777" w:rsidR="0099377A" w:rsidRPr="00BA4F7F" w:rsidRDefault="0099377A">
      <w:pPr>
        <w:spacing w:after="0"/>
        <w:jc w:val="center"/>
      </w:pPr>
    </w:p>
    <w:p w14:paraId="7C2813E2" w14:textId="77777777" w:rsidR="0099377A" w:rsidRPr="00BA4F7F" w:rsidRDefault="0099377A">
      <w:pPr>
        <w:spacing w:after="0"/>
        <w:jc w:val="center"/>
      </w:pPr>
    </w:p>
    <w:p w14:paraId="288FD0B2" w14:textId="77777777" w:rsidR="0099377A" w:rsidRPr="00BA4F7F" w:rsidRDefault="0099377A">
      <w:pPr>
        <w:spacing w:after="0"/>
        <w:jc w:val="center"/>
      </w:pPr>
    </w:p>
    <w:p w14:paraId="3045FF6D" w14:textId="77777777" w:rsidR="0099377A" w:rsidRPr="00BA4F7F" w:rsidRDefault="0099377A">
      <w:pPr>
        <w:spacing w:after="0"/>
        <w:jc w:val="center"/>
      </w:pPr>
    </w:p>
    <w:p w14:paraId="0864CC5F" w14:textId="77777777" w:rsidR="0099377A" w:rsidRPr="00BA4F7F" w:rsidRDefault="0099377A">
      <w:pPr>
        <w:spacing w:after="0"/>
        <w:jc w:val="center"/>
      </w:pPr>
    </w:p>
    <w:p w14:paraId="1E010ED6" w14:textId="77777777" w:rsidR="0099377A" w:rsidRPr="00BA4F7F" w:rsidRDefault="0099377A">
      <w:pPr>
        <w:spacing w:after="0"/>
        <w:jc w:val="center"/>
      </w:pPr>
    </w:p>
    <w:p w14:paraId="29A2F5AB" w14:textId="77777777" w:rsidR="0099377A" w:rsidRPr="00BA4F7F" w:rsidRDefault="0099377A">
      <w:pPr>
        <w:spacing w:after="0"/>
        <w:jc w:val="center"/>
      </w:pPr>
    </w:p>
    <w:p w14:paraId="6BB7775C" w14:textId="77777777" w:rsidR="0099377A" w:rsidRPr="00BA4F7F" w:rsidRDefault="0099377A">
      <w:pPr>
        <w:spacing w:after="0"/>
        <w:jc w:val="center"/>
      </w:pPr>
    </w:p>
    <w:p w14:paraId="786B073E" w14:textId="77777777" w:rsidR="0099377A" w:rsidRPr="00BA4F7F" w:rsidRDefault="0099377A">
      <w:pPr>
        <w:spacing w:after="0"/>
        <w:jc w:val="center"/>
      </w:pPr>
    </w:p>
    <w:p w14:paraId="3D01DB6C" w14:textId="77777777" w:rsidR="0099377A" w:rsidRPr="00BA4F7F" w:rsidRDefault="0099377A">
      <w:pPr>
        <w:spacing w:after="0"/>
        <w:jc w:val="center"/>
      </w:pPr>
    </w:p>
    <w:p w14:paraId="0B4B887E" w14:textId="77777777" w:rsidR="0099377A" w:rsidRPr="00BA4F7F" w:rsidRDefault="0099377A">
      <w:pPr>
        <w:spacing w:after="0"/>
        <w:jc w:val="center"/>
      </w:pPr>
    </w:p>
    <w:p w14:paraId="6BBFFD79" w14:textId="77777777" w:rsidR="0099377A" w:rsidRPr="00BA4F7F" w:rsidRDefault="0099377A">
      <w:pPr>
        <w:spacing w:after="0"/>
        <w:jc w:val="center"/>
      </w:pPr>
    </w:p>
    <w:p w14:paraId="3F6BF189" w14:textId="77777777" w:rsidR="0099377A" w:rsidRPr="00BA4F7F" w:rsidRDefault="0099377A">
      <w:pPr>
        <w:spacing w:after="0"/>
        <w:jc w:val="center"/>
      </w:pPr>
    </w:p>
    <w:p w14:paraId="2B1DE1DF" w14:textId="77777777" w:rsidR="0099377A" w:rsidRPr="00BA4F7F" w:rsidRDefault="0099377A">
      <w:pPr>
        <w:spacing w:after="0"/>
        <w:jc w:val="center"/>
      </w:pPr>
    </w:p>
    <w:p w14:paraId="346EFE55" w14:textId="77777777" w:rsidR="0099377A" w:rsidRPr="00BA4F7F" w:rsidRDefault="0099377A">
      <w:pPr>
        <w:spacing w:after="0"/>
        <w:jc w:val="center"/>
      </w:pPr>
    </w:p>
    <w:p w14:paraId="211FBFF3" w14:textId="77777777" w:rsidR="0099377A" w:rsidRPr="00BA4F7F" w:rsidRDefault="0099377A">
      <w:pPr>
        <w:spacing w:after="0"/>
        <w:jc w:val="center"/>
      </w:pPr>
    </w:p>
    <w:p w14:paraId="5A13822D" w14:textId="77777777" w:rsidR="0099377A" w:rsidRPr="00BA4F7F" w:rsidRDefault="0099377A">
      <w:pPr>
        <w:spacing w:after="0"/>
        <w:jc w:val="center"/>
      </w:pPr>
    </w:p>
    <w:p w14:paraId="3975DB54" w14:textId="77777777" w:rsidR="0099377A" w:rsidRPr="00BA4F7F" w:rsidRDefault="0099377A">
      <w:pPr>
        <w:spacing w:after="0"/>
        <w:jc w:val="center"/>
      </w:pPr>
    </w:p>
    <w:p w14:paraId="796BFD54" w14:textId="77777777" w:rsidR="0099377A" w:rsidRPr="00BA4F7F" w:rsidRDefault="0099377A">
      <w:pPr>
        <w:spacing w:after="0"/>
        <w:jc w:val="center"/>
      </w:pPr>
    </w:p>
    <w:p w14:paraId="3EE27B39" w14:textId="77777777" w:rsidR="0099377A" w:rsidRPr="00BA4F7F" w:rsidRDefault="0099377A">
      <w:pPr>
        <w:spacing w:after="0"/>
        <w:jc w:val="center"/>
      </w:pPr>
    </w:p>
    <w:p w14:paraId="119E0F5A" w14:textId="77777777" w:rsidR="0099377A" w:rsidRPr="00BA4F7F" w:rsidRDefault="0099377A">
      <w:pPr>
        <w:spacing w:after="0"/>
        <w:jc w:val="center"/>
      </w:pPr>
    </w:p>
    <w:p w14:paraId="77BFBAC5" w14:textId="77777777" w:rsidR="0099377A" w:rsidRPr="00BA4F7F" w:rsidRDefault="0099377A">
      <w:pPr>
        <w:spacing w:after="0"/>
        <w:jc w:val="center"/>
      </w:pPr>
    </w:p>
    <w:p w14:paraId="116D17EC" w14:textId="77777777" w:rsidR="0099377A" w:rsidRPr="00BA4F7F" w:rsidRDefault="0099377A">
      <w:pPr>
        <w:spacing w:after="0"/>
        <w:jc w:val="center"/>
      </w:pPr>
    </w:p>
    <w:p w14:paraId="213B720F" w14:textId="77777777" w:rsidR="0099377A" w:rsidRPr="00BA4F7F" w:rsidRDefault="0099377A">
      <w:pPr>
        <w:spacing w:after="0"/>
        <w:jc w:val="center"/>
      </w:pPr>
    </w:p>
    <w:p w14:paraId="00935B35" w14:textId="77777777" w:rsidR="0099377A" w:rsidRPr="00BA4F7F" w:rsidRDefault="0099377A">
      <w:pPr>
        <w:spacing w:after="0"/>
        <w:jc w:val="center"/>
      </w:pPr>
    </w:p>
    <w:p w14:paraId="301EA4BF" w14:textId="77777777" w:rsidR="0099377A" w:rsidRPr="00BA4F7F" w:rsidRDefault="0099377A">
      <w:pPr>
        <w:spacing w:after="0"/>
        <w:jc w:val="center"/>
      </w:pPr>
    </w:p>
    <w:p w14:paraId="22A2F879" w14:textId="77777777" w:rsidR="0099377A" w:rsidRPr="00BA4F7F" w:rsidRDefault="0099377A">
      <w:pPr>
        <w:spacing w:after="0"/>
        <w:jc w:val="center"/>
      </w:pPr>
    </w:p>
    <w:p w14:paraId="61230B11" w14:textId="77777777" w:rsidR="0099377A" w:rsidRPr="00BA4F7F" w:rsidRDefault="0099377A">
      <w:pPr>
        <w:spacing w:after="0"/>
        <w:jc w:val="center"/>
      </w:pPr>
    </w:p>
    <w:p w14:paraId="186C69DA" w14:textId="77777777" w:rsidR="0099377A" w:rsidRPr="00BA4F7F" w:rsidRDefault="0099377A">
      <w:pPr>
        <w:spacing w:after="0"/>
        <w:jc w:val="center"/>
      </w:pPr>
    </w:p>
    <w:p w14:paraId="122583C0" w14:textId="77777777" w:rsidR="0099377A" w:rsidRPr="00BA4F7F" w:rsidRDefault="0099377A">
      <w:pPr>
        <w:spacing w:after="0"/>
        <w:jc w:val="center"/>
      </w:pPr>
    </w:p>
    <w:p w14:paraId="443C0F07" w14:textId="77777777" w:rsidR="0099377A" w:rsidRPr="00BA4F7F" w:rsidRDefault="0099377A">
      <w:pPr>
        <w:spacing w:after="0"/>
        <w:jc w:val="center"/>
      </w:pPr>
    </w:p>
    <w:p w14:paraId="4F1954D0" w14:textId="77777777" w:rsidR="0099377A" w:rsidRPr="00BA4F7F" w:rsidRDefault="0099377A">
      <w:pPr>
        <w:spacing w:after="0"/>
        <w:jc w:val="center"/>
      </w:pPr>
    </w:p>
    <w:p w14:paraId="19D77E2A" w14:textId="77777777" w:rsidR="0099377A" w:rsidRPr="00BA4F7F" w:rsidRDefault="0099377A">
      <w:pPr>
        <w:spacing w:after="0"/>
        <w:jc w:val="center"/>
      </w:pPr>
    </w:p>
    <w:p w14:paraId="7B0FD97C" w14:textId="77777777" w:rsidR="0099377A" w:rsidRPr="00BA4F7F" w:rsidRDefault="0099377A">
      <w:pPr>
        <w:spacing w:after="0"/>
        <w:jc w:val="center"/>
      </w:pPr>
    </w:p>
    <w:p w14:paraId="2A176E26" w14:textId="77777777" w:rsidR="0099377A" w:rsidRPr="00BA4F7F" w:rsidRDefault="0099377A">
      <w:pPr>
        <w:spacing w:after="0"/>
        <w:jc w:val="center"/>
      </w:pPr>
    </w:p>
    <w:p w14:paraId="5FE96445" w14:textId="77777777" w:rsidR="0099377A" w:rsidRPr="00BA4F7F" w:rsidRDefault="0099377A">
      <w:pPr>
        <w:spacing w:after="0"/>
        <w:jc w:val="center"/>
      </w:pPr>
    </w:p>
    <w:p w14:paraId="17B89B50" w14:textId="77777777" w:rsidR="0099377A" w:rsidRPr="00BA4F7F" w:rsidRDefault="0099377A">
      <w:pPr>
        <w:spacing w:after="0"/>
        <w:jc w:val="center"/>
      </w:pPr>
    </w:p>
    <w:p w14:paraId="202B0349" w14:textId="77777777" w:rsidR="0099377A" w:rsidRPr="00BA4F7F" w:rsidRDefault="0099377A">
      <w:pPr>
        <w:spacing w:after="0"/>
        <w:jc w:val="center"/>
      </w:pPr>
    </w:p>
    <w:p w14:paraId="2D29DC57" w14:textId="77777777" w:rsidR="0099377A" w:rsidRPr="00BA4F7F" w:rsidRDefault="0099377A">
      <w:pPr>
        <w:spacing w:after="0"/>
        <w:jc w:val="center"/>
      </w:pPr>
    </w:p>
    <w:p w14:paraId="39F6C0C2" w14:textId="77777777" w:rsidR="0099377A" w:rsidRPr="00BA4F7F" w:rsidRDefault="0099377A">
      <w:pPr>
        <w:spacing w:after="0"/>
        <w:jc w:val="center"/>
      </w:pPr>
    </w:p>
    <w:p w14:paraId="4A4DB36F" w14:textId="77777777" w:rsidR="0099377A" w:rsidRPr="00BA4F7F" w:rsidRDefault="0099377A">
      <w:pPr>
        <w:spacing w:after="0"/>
        <w:jc w:val="center"/>
      </w:pPr>
    </w:p>
    <w:p w14:paraId="21E984D0" w14:textId="77777777" w:rsidR="0099377A" w:rsidRPr="00BA4F7F" w:rsidRDefault="0099377A">
      <w:pPr>
        <w:spacing w:after="0"/>
        <w:jc w:val="center"/>
      </w:pPr>
    </w:p>
    <w:p w14:paraId="1698F116" w14:textId="551903E0" w:rsidR="00843C23" w:rsidRPr="00BA4F7F" w:rsidRDefault="00000000">
      <w:pPr>
        <w:spacing w:after="0" w:line="259" w:lineRule="auto"/>
        <w:jc w:val="center"/>
      </w:pPr>
      <w:r>
        <w:t xml:space="preserve">Raport główny • wersja 1.9 – </w:t>
      </w:r>
      <w:r w:rsidR="0077288A">
        <w:t>robocza</w:t>
      </w:r>
      <w:r>
        <w:t xml:space="preserve"> • 31 lipca 2026</w:t>
      </w:r>
    </w:p>
    <w:p w14:paraId="0465A473" w14:textId="77777777" w:rsidR="00843C23" w:rsidRPr="00BA4F7F" w:rsidRDefault="00532021">
      <w:pPr>
        <w:spacing w:after="0" w:line="259" w:lineRule="auto"/>
        <w:jc w:val="center"/>
      </w:pPr>
      <w:r w:rsidRPr="00BA4F7F">
        <w:rPr>
          <w:color w:val="666666"/>
          <w:sz w:val="18"/>
        </w:rPr>
        <w:t>Centrum Strategii Rozwojowych</w:t>
      </w:r>
    </w:p>
    <w:p w14:paraId="4A627FE2" w14:textId="77777777" w:rsidR="00CC6018" w:rsidRDefault="00000000" w:rsidP="00CC6018">
      <w:pPr>
        <w:spacing w:line="259" w:lineRule="auto"/>
        <w:jc w:val="center"/>
      </w:pPr>
      <w:r w:rsidRPr="00BA4F7F">
        <w:br w:type="page"/>
      </w:r>
    </w:p>
    <w:p w14:paraId="3FD0CC1B" w14:textId="77777777" w:rsidR="00CC6018" w:rsidRDefault="00CC6018" w:rsidP="00CC6018">
      <w:pPr>
        <w:spacing w:line="259" w:lineRule="auto"/>
        <w:jc w:val="center"/>
      </w:pPr>
    </w:p>
    <w:p w14:paraId="4832FAD4" w14:textId="77777777" w:rsidR="00CC6018" w:rsidRDefault="00CC6018" w:rsidP="00CC6018">
      <w:pPr>
        <w:spacing w:line="259" w:lineRule="auto"/>
        <w:jc w:val="center"/>
      </w:pPr>
    </w:p>
    <w:p w14:paraId="66CD7ABE" w14:textId="77777777" w:rsidR="00CC6018" w:rsidRPr="00CC6018" w:rsidRDefault="00CC6018" w:rsidP="00CC6018">
      <w:pPr>
        <w:spacing w:line="259" w:lineRule="auto"/>
        <w:rPr>
          <w:b/>
          <w:bCs/>
        </w:rPr>
      </w:pPr>
      <w:r w:rsidRPr="00CC6018">
        <w:rPr>
          <w:b/>
          <w:bCs/>
        </w:rPr>
        <w:t>SPIS TREŚCI</w:t>
      </w:r>
    </w:p>
    <w:p w14:paraId="73EAC228"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r>
        <w:fldChar w:fldCharType="begin"/>
      </w:r>
      <w:r>
        <w:instrText xml:space="preserve"> TOC \o "1-1" \h \z \u </w:instrText>
      </w:r>
      <w:r>
        <w:fldChar w:fldCharType="separate"/>
      </w:r>
      <w:hyperlink w:anchor="_Toc236400497" w:history="1">
        <w:r w:rsidRPr="00E224C2">
          <w:rPr>
            <w:rStyle w:val="Hipercze"/>
            <w:noProof/>
          </w:rPr>
          <w:t>1. Synteza strategiczna</w:t>
        </w:r>
        <w:r>
          <w:rPr>
            <w:noProof/>
            <w:webHidden/>
          </w:rPr>
          <w:tab/>
        </w:r>
        <w:r>
          <w:rPr>
            <w:noProof/>
            <w:webHidden/>
          </w:rPr>
          <w:fldChar w:fldCharType="begin"/>
        </w:r>
        <w:r>
          <w:rPr>
            <w:noProof/>
            <w:webHidden/>
          </w:rPr>
          <w:instrText xml:space="preserve"> PAGEREF _Toc236400497 \h </w:instrText>
        </w:r>
        <w:r>
          <w:rPr>
            <w:noProof/>
            <w:webHidden/>
          </w:rPr>
        </w:r>
        <w:r>
          <w:rPr>
            <w:noProof/>
            <w:webHidden/>
          </w:rPr>
          <w:fldChar w:fldCharType="separate"/>
        </w:r>
        <w:r>
          <w:rPr>
            <w:noProof/>
            <w:webHidden/>
          </w:rPr>
          <w:t>4</w:t>
        </w:r>
        <w:r>
          <w:rPr>
            <w:noProof/>
            <w:webHidden/>
          </w:rPr>
          <w:fldChar w:fldCharType="end"/>
        </w:r>
      </w:hyperlink>
    </w:p>
    <w:p w14:paraId="10277165"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498" w:history="1">
        <w:r w:rsidRPr="00E224C2">
          <w:rPr>
            <w:rStyle w:val="Hipercze"/>
            <w:noProof/>
          </w:rPr>
          <w:t>2. Wynik główny w latach 2020–2025</w:t>
        </w:r>
        <w:r>
          <w:rPr>
            <w:noProof/>
            <w:webHidden/>
          </w:rPr>
          <w:tab/>
        </w:r>
        <w:r>
          <w:rPr>
            <w:noProof/>
            <w:webHidden/>
          </w:rPr>
          <w:fldChar w:fldCharType="begin"/>
        </w:r>
        <w:r>
          <w:rPr>
            <w:noProof/>
            <w:webHidden/>
          </w:rPr>
          <w:instrText xml:space="preserve"> PAGEREF _Toc236400498 \h </w:instrText>
        </w:r>
        <w:r>
          <w:rPr>
            <w:noProof/>
            <w:webHidden/>
          </w:rPr>
        </w:r>
        <w:r>
          <w:rPr>
            <w:noProof/>
            <w:webHidden/>
          </w:rPr>
          <w:fldChar w:fldCharType="separate"/>
        </w:r>
        <w:r>
          <w:rPr>
            <w:noProof/>
            <w:webHidden/>
          </w:rPr>
          <w:t>6</w:t>
        </w:r>
        <w:r>
          <w:rPr>
            <w:noProof/>
            <w:webHidden/>
          </w:rPr>
          <w:fldChar w:fldCharType="end"/>
        </w:r>
      </w:hyperlink>
    </w:p>
    <w:p w14:paraId="5435E2B7"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499" w:history="1">
        <w:r w:rsidRPr="00E224C2">
          <w:rPr>
            <w:rStyle w:val="Hipercze"/>
            <w:noProof/>
          </w:rPr>
          <w:t>3. Czym jest Indeks Racji Stanu</w:t>
        </w:r>
        <w:r>
          <w:rPr>
            <w:noProof/>
            <w:webHidden/>
          </w:rPr>
          <w:tab/>
        </w:r>
        <w:r>
          <w:rPr>
            <w:noProof/>
            <w:webHidden/>
          </w:rPr>
          <w:fldChar w:fldCharType="begin"/>
        </w:r>
        <w:r>
          <w:rPr>
            <w:noProof/>
            <w:webHidden/>
          </w:rPr>
          <w:instrText xml:space="preserve"> PAGEREF _Toc236400499 \h </w:instrText>
        </w:r>
        <w:r>
          <w:rPr>
            <w:noProof/>
            <w:webHidden/>
          </w:rPr>
        </w:r>
        <w:r>
          <w:rPr>
            <w:noProof/>
            <w:webHidden/>
          </w:rPr>
          <w:fldChar w:fldCharType="separate"/>
        </w:r>
        <w:r>
          <w:rPr>
            <w:noProof/>
            <w:webHidden/>
          </w:rPr>
          <w:t>8</w:t>
        </w:r>
        <w:r>
          <w:rPr>
            <w:noProof/>
            <w:webHidden/>
          </w:rPr>
          <w:fldChar w:fldCharType="end"/>
        </w:r>
      </w:hyperlink>
    </w:p>
    <w:p w14:paraId="32477B12"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500" w:history="1">
        <w:r w:rsidRPr="00E224C2">
          <w:rPr>
            <w:rStyle w:val="Hipercze"/>
            <w:noProof/>
          </w:rPr>
          <w:t>4. Ograniczenia i rozwój modelu</w:t>
        </w:r>
        <w:r>
          <w:rPr>
            <w:noProof/>
            <w:webHidden/>
          </w:rPr>
          <w:tab/>
        </w:r>
        <w:r>
          <w:rPr>
            <w:noProof/>
            <w:webHidden/>
          </w:rPr>
          <w:fldChar w:fldCharType="begin"/>
        </w:r>
        <w:r>
          <w:rPr>
            <w:noProof/>
            <w:webHidden/>
          </w:rPr>
          <w:instrText xml:space="preserve"> PAGEREF _Toc236400500 \h </w:instrText>
        </w:r>
        <w:r>
          <w:rPr>
            <w:noProof/>
            <w:webHidden/>
          </w:rPr>
        </w:r>
        <w:r>
          <w:rPr>
            <w:noProof/>
            <w:webHidden/>
          </w:rPr>
          <w:fldChar w:fldCharType="separate"/>
        </w:r>
        <w:r>
          <w:rPr>
            <w:noProof/>
            <w:webHidden/>
          </w:rPr>
          <w:t>13</w:t>
        </w:r>
        <w:r>
          <w:rPr>
            <w:noProof/>
            <w:webHidden/>
          </w:rPr>
          <w:fldChar w:fldCharType="end"/>
        </w:r>
      </w:hyperlink>
    </w:p>
    <w:p w14:paraId="7B492D4A"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501" w:history="1">
        <w:r w:rsidRPr="00E224C2">
          <w:rPr>
            <w:rStyle w:val="Hipercze"/>
            <w:noProof/>
          </w:rPr>
          <w:t>5. Filar I – Kondycja systemowa</w:t>
        </w:r>
        <w:r>
          <w:rPr>
            <w:noProof/>
            <w:webHidden/>
          </w:rPr>
          <w:tab/>
        </w:r>
        <w:r>
          <w:rPr>
            <w:noProof/>
            <w:webHidden/>
          </w:rPr>
          <w:fldChar w:fldCharType="begin"/>
        </w:r>
        <w:r>
          <w:rPr>
            <w:noProof/>
            <w:webHidden/>
          </w:rPr>
          <w:instrText xml:space="preserve"> PAGEREF _Toc236400501 \h </w:instrText>
        </w:r>
        <w:r>
          <w:rPr>
            <w:noProof/>
            <w:webHidden/>
          </w:rPr>
        </w:r>
        <w:r>
          <w:rPr>
            <w:noProof/>
            <w:webHidden/>
          </w:rPr>
          <w:fldChar w:fldCharType="separate"/>
        </w:r>
        <w:r>
          <w:rPr>
            <w:noProof/>
            <w:webHidden/>
          </w:rPr>
          <w:t>14</w:t>
        </w:r>
        <w:r>
          <w:rPr>
            <w:noProof/>
            <w:webHidden/>
          </w:rPr>
          <w:fldChar w:fldCharType="end"/>
        </w:r>
      </w:hyperlink>
    </w:p>
    <w:p w14:paraId="415B6239"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502" w:history="1">
        <w:r w:rsidRPr="00E224C2">
          <w:rPr>
            <w:rStyle w:val="Hipercze"/>
            <w:noProof/>
          </w:rPr>
          <w:t>6. Gospodarka – stabilność bieżąca bez pełnej rezerwy rozwojowej</w:t>
        </w:r>
        <w:r>
          <w:rPr>
            <w:noProof/>
            <w:webHidden/>
          </w:rPr>
          <w:tab/>
        </w:r>
        <w:r>
          <w:rPr>
            <w:noProof/>
            <w:webHidden/>
          </w:rPr>
          <w:fldChar w:fldCharType="begin"/>
        </w:r>
        <w:r>
          <w:rPr>
            <w:noProof/>
            <w:webHidden/>
          </w:rPr>
          <w:instrText xml:space="preserve"> PAGEREF _Toc236400502 \h </w:instrText>
        </w:r>
        <w:r>
          <w:rPr>
            <w:noProof/>
            <w:webHidden/>
          </w:rPr>
        </w:r>
        <w:r>
          <w:rPr>
            <w:noProof/>
            <w:webHidden/>
          </w:rPr>
          <w:fldChar w:fldCharType="separate"/>
        </w:r>
        <w:r>
          <w:rPr>
            <w:noProof/>
            <w:webHidden/>
          </w:rPr>
          <w:t>16</w:t>
        </w:r>
        <w:r>
          <w:rPr>
            <w:noProof/>
            <w:webHidden/>
          </w:rPr>
          <w:fldChar w:fldCharType="end"/>
        </w:r>
      </w:hyperlink>
    </w:p>
    <w:p w14:paraId="69D405BD"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503" w:history="1">
        <w:r w:rsidRPr="00E224C2">
          <w:rPr>
            <w:rStyle w:val="Hipercze"/>
            <w:noProof/>
          </w:rPr>
          <w:t>7. Bezpieczeństwo – najsilniejsza funkcja państwa, ale odporność nadal niepełna</w:t>
        </w:r>
        <w:r>
          <w:rPr>
            <w:noProof/>
            <w:webHidden/>
          </w:rPr>
          <w:tab/>
        </w:r>
        <w:r>
          <w:rPr>
            <w:noProof/>
            <w:webHidden/>
          </w:rPr>
          <w:fldChar w:fldCharType="begin"/>
        </w:r>
        <w:r>
          <w:rPr>
            <w:noProof/>
            <w:webHidden/>
          </w:rPr>
          <w:instrText xml:space="preserve"> PAGEREF _Toc236400503 \h </w:instrText>
        </w:r>
        <w:r>
          <w:rPr>
            <w:noProof/>
            <w:webHidden/>
          </w:rPr>
        </w:r>
        <w:r>
          <w:rPr>
            <w:noProof/>
            <w:webHidden/>
          </w:rPr>
          <w:fldChar w:fldCharType="separate"/>
        </w:r>
        <w:r>
          <w:rPr>
            <w:noProof/>
            <w:webHidden/>
          </w:rPr>
          <w:t>18</w:t>
        </w:r>
        <w:r>
          <w:rPr>
            <w:noProof/>
            <w:webHidden/>
          </w:rPr>
          <w:fldChar w:fldCharType="end"/>
        </w:r>
      </w:hyperlink>
    </w:p>
    <w:p w14:paraId="05ED061F"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504" w:history="1">
        <w:r w:rsidRPr="00E224C2">
          <w:rPr>
            <w:rStyle w:val="Hipercze"/>
            <w:noProof/>
          </w:rPr>
          <w:t>8. Demografia – wysokie ryzyko o krytycznym znaczeniu</w:t>
        </w:r>
        <w:r>
          <w:rPr>
            <w:noProof/>
            <w:webHidden/>
          </w:rPr>
          <w:tab/>
        </w:r>
        <w:r>
          <w:rPr>
            <w:noProof/>
            <w:webHidden/>
          </w:rPr>
          <w:fldChar w:fldCharType="begin"/>
        </w:r>
        <w:r>
          <w:rPr>
            <w:noProof/>
            <w:webHidden/>
          </w:rPr>
          <w:instrText xml:space="preserve"> PAGEREF _Toc236400504 \h </w:instrText>
        </w:r>
        <w:r>
          <w:rPr>
            <w:noProof/>
            <w:webHidden/>
          </w:rPr>
        </w:r>
        <w:r>
          <w:rPr>
            <w:noProof/>
            <w:webHidden/>
          </w:rPr>
          <w:fldChar w:fldCharType="separate"/>
        </w:r>
        <w:r>
          <w:rPr>
            <w:noProof/>
            <w:webHidden/>
          </w:rPr>
          <w:t>20</w:t>
        </w:r>
        <w:r>
          <w:rPr>
            <w:noProof/>
            <w:webHidden/>
          </w:rPr>
          <w:fldChar w:fldCharType="end"/>
        </w:r>
      </w:hyperlink>
    </w:p>
    <w:p w14:paraId="71107A4C"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505" w:history="1">
        <w:r w:rsidRPr="00E224C2">
          <w:rPr>
            <w:rStyle w:val="Hipercze"/>
            <w:noProof/>
          </w:rPr>
          <w:t>9. Spójność społeczna – poprawa materialna bez pełnej odbudowy zaufania</w:t>
        </w:r>
        <w:r>
          <w:rPr>
            <w:noProof/>
            <w:webHidden/>
          </w:rPr>
          <w:tab/>
        </w:r>
        <w:r>
          <w:rPr>
            <w:noProof/>
            <w:webHidden/>
          </w:rPr>
          <w:fldChar w:fldCharType="begin"/>
        </w:r>
        <w:r>
          <w:rPr>
            <w:noProof/>
            <w:webHidden/>
          </w:rPr>
          <w:instrText xml:space="preserve"> PAGEREF _Toc236400505 \h </w:instrText>
        </w:r>
        <w:r>
          <w:rPr>
            <w:noProof/>
            <w:webHidden/>
          </w:rPr>
        </w:r>
        <w:r>
          <w:rPr>
            <w:noProof/>
            <w:webHidden/>
          </w:rPr>
          <w:fldChar w:fldCharType="separate"/>
        </w:r>
        <w:r>
          <w:rPr>
            <w:noProof/>
            <w:webHidden/>
          </w:rPr>
          <w:t>22</w:t>
        </w:r>
        <w:r>
          <w:rPr>
            <w:noProof/>
            <w:webHidden/>
          </w:rPr>
          <w:fldChar w:fldCharType="end"/>
        </w:r>
      </w:hyperlink>
    </w:p>
    <w:p w14:paraId="2030A7CD"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506" w:history="1">
        <w:r w:rsidRPr="00E224C2">
          <w:rPr>
            <w:rStyle w:val="Hipercze"/>
            <w:noProof/>
          </w:rPr>
          <w:t>10. Filar II – Strategia i państwo</w:t>
        </w:r>
        <w:r>
          <w:rPr>
            <w:noProof/>
            <w:webHidden/>
          </w:rPr>
          <w:tab/>
        </w:r>
        <w:r>
          <w:rPr>
            <w:noProof/>
            <w:webHidden/>
          </w:rPr>
          <w:fldChar w:fldCharType="begin"/>
        </w:r>
        <w:r>
          <w:rPr>
            <w:noProof/>
            <w:webHidden/>
          </w:rPr>
          <w:instrText xml:space="preserve"> PAGEREF _Toc236400506 \h </w:instrText>
        </w:r>
        <w:r>
          <w:rPr>
            <w:noProof/>
            <w:webHidden/>
          </w:rPr>
        </w:r>
        <w:r>
          <w:rPr>
            <w:noProof/>
            <w:webHidden/>
          </w:rPr>
          <w:fldChar w:fldCharType="separate"/>
        </w:r>
        <w:r>
          <w:rPr>
            <w:noProof/>
            <w:webHidden/>
          </w:rPr>
          <w:t>24</w:t>
        </w:r>
        <w:r>
          <w:rPr>
            <w:noProof/>
            <w:webHidden/>
          </w:rPr>
          <w:fldChar w:fldCharType="end"/>
        </w:r>
      </w:hyperlink>
    </w:p>
    <w:p w14:paraId="05A2366C"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507" w:history="1">
        <w:r w:rsidRPr="00E224C2">
          <w:rPr>
            <w:rStyle w:val="Hipercze"/>
            <w:noProof/>
          </w:rPr>
          <w:t>11. Projekty strategiczne – trafna ambicja, słabsza wiarygodność wykonawcza</w:t>
        </w:r>
        <w:r>
          <w:rPr>
            <w:noProof/>
            <w:webHidden/>
          </w:rPr>
          <w:tab/>
        </w:r>
        <w:r>
          <w:rPr>
            <w:noProof/>
            <w:webHidden/>
          </w:rPr>
          <w:fldChar w:fldCharType="begin"/>
        </w:r>
        <w:r>
          <w:rPr>
            <w:noProof/>
            <w:webHidden/>
          </w:rPr>
          <w:instrText xml:space="preserve"> PAGEREF _Toc236400507 \h </w:instrText>
        </w:r>
        <w:r>
          <w:rPr>
            <w:noProof/>
            <w:webHidden/>
          </w:rPr>
        </w:r>
        <w:r>
          <w:rPr>
            <w:noProof/>
            <w:webHidden/>
          </w:rPr>
          <w:fldChar w:fldCharType="separate"/>
        </w:r>
        <w:r>
          <w:rPr>
            <w:noProof/>
            <w:webHidden/>
          </w:rPr>
          <w:t>26</w:t>
        </w:r>
        <w:r>
          <w:rPr>
            <w:noProof/>
            <w:webHidden/>
          </w:rPr>
          <w:fldChar w:fldCharType="end"/>
        </w:r>
      </w:hyperlink>
    </w:p>
    <w:p w14:paraId="3B0E83A2"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508" w:history="1">
        <w:r w:rsidRPr="00E224C2">
          <w:rPr>
            <w:rStyle w:val="Hipercze"/>
            <w:noProof/>
          </w:rPr>
          <w:t>12. Ład instytucjonalny – sprawność działania bez wspólnej stabilności systemowej</w:t>
        </w:r>
        <w:r>
          <w:rPr>
            <w:noProof/>
            <w:webHidden/>
          </w:rPr>
          <w:tab/>
        </w:r>
        <w:r>
          <w:rPr>
            <w:noProof/>
            <w:webHidden/>
          </w:rPr>
          <w:fldChar w:fldCharType="begin"/>
        </w:r>
        <w:r>
          <w:rPr>
            <w:noProof/>
            <w:webHidden/>
          </w:rPr>
          <w:instrText xml:space="preserve"> PAGEREF _Toc236400508 \h </w:instrText>
        </w:r>
        <w:r>
          <w:rPr>
            <w:noProof/>
            <w:webHidden/>
          </w:rPr>
        </w:r>
        <w:r>
          <w:rPr>
            <w:noProof/>
            <w:webHidden/>
          </w:rPr>
          <w:fldChar w:fldCharType="separate"/>
        </w:r>
        <w:r>
          <w:rPr>
            <w:noProof/>
            <w:webHidden/>
          </w:rPr>
          <w:t>29</w:t>
        </w:r>
        <w:r>
          <w:rPr>
            <w:noProof/>
            <w:webHidden/>
          </w:rPr>
          <w:fldChar w:fldCharType="end"/>
        </w:r>
      </w:hyperlink>
    </w:p>
    <w:p w14:paraId="36DCB2BF"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509" w:history="1">
        <w:r w:rsidRPr="00E224C2">
          <w:rPr>
            <w:rStyle w:val="Hipercze"/>
            <w:noProof/>
          </w:rPr>
          <w:t>13. Projekty i instytucje – mechanizm strategicznej sprawczości</w:t>
        </w:r>
        <w:r>
          <w:rPr>
            <w:noProof/>
            <w:webHidden/>
          </w:rPr>
          <w:tab/>
        </w:r>
        <w:r>
          <w:rPr>
            <w:noProof/>
            <w:webHidden/>
          </w:rPr>
          <w:fldChar w:fldCharType="begin"/>
        </w:r>
        <w:r>
          <w:rPr>
            <w:noProof/>
            <w:webHidden/>
          </w:rPr>
          <w:instrText xml:space="preserve"> PAGEREF _Toc236400509 \h </w:instrText>
        </w:r>
        <w:r>
          <w:rPr>
            <w:noProof/>
            <w:webHidden/>
          </w:rPr>
        </w:r>
        <w:r>
          <w:rPr>
            <w:noProof/>
            <w:webHidden/>
          </w:rPr>
          <w:fldChar w:fldCharType="separate"/>
        </w:r>
        <w:r>
          <w:rPr>
            <w:noProof/>
            <w:webHidden/>
          </w:rPr>
          <w:t>31</w:t>
        </w:r>
        <w:r>
          <w:rPr>
            <w:noProof/>
            <w:webHidden/>
          </w:rPr>
          <w:fldChar w:fldCharType="end"/>
        </w:r>
      </w:hyperlink>
    </w:p>
    <w:p w14:paraId="4BC21B82"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510" w:history="1">
        <w:r w:rsidRPr="00E224C2">
          <w:rPr>
            <w:rStyle w:val="Hipercze"/>
            <w:noProof/>
          </w:rPr>
          <w:t>14. Mapa dwudziestu subobszarów IRS</w:t>
        </w:r>
        <w:r>
          <w:rPr>
            <w:noProof/>
            <w:webHidden/>
          </w:rPr>
          <w:tab/>
        </w:r>
        <w:r>
          <w:rPr>
            <w:noProof/>
            <w:webHidden/>
          </w:rPr>
          <w:fldChar w:fldCharType="begin"/>
        </w:r>
        <w:r>
          <w:rPr>
            <w:noProof/>
            <w:webHidden/>
          </w:rPr>
          <w:instrText xml:space="preserve"> PAGEREF _Toc236400510 \h </w:instrText>
        </w:r>
        <w:r>
          <w:rPr>
            <w:noProof/>
            <w:webHidden/>
          </w:rPr>
        </w:r>
        <w:r>
          <w:rPr>
            <w:noProof/>
            <w:webHidden/>
          </w:rPr>
          <w:fldChar w:fldCharType="separate"/>
        </w:r>
        <w:r>
          <w:rPr>
            <w:noProof/>
            <w:webHidden/>
          </w:rPr>
          <w:t>32</w:t>
        </w:r>
        <w:r>
          <w:rPr>
            <w:noProof/>
            <w:webHidden/>
          </w:rPr>
          <w:fldChar w:fldCharType="end"/>
        </w:r>
      </w:hyperlink>
    </w:p>
    <w:p w14:paraId="70A6270F"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511" w:history="1">
        <w:r w:rsidRPr="00E224C2">
          <w:rPr>
            <w:rStyle w:val="Hipercze"/>
            <w:noProof/>
          </w:rPr>
          <w:t>14A. Karty diagnostyczne dwudziestu subobszarów</w:t>
        </w:r>
        <w:r>
          <w:rPr>
            <w:noProof/>
            <w:webHidden/>
          </w:rPr>
          <w:tab/>
        </w:r>
        <w:r>
          <w:rPr>
            <w:noProof/>
            <w:webHidden/>
          </w:rPr>
          <w:fldChar w:fldCharType="begin"/>
        </w:r>
        <w:r>
          <w:rPr>
            <w:noProof/>
            <w:webHidden/>
          </w:rPr>
          <w:instrText xml:space="preserve"> PAGEREF _Toc236400511 \h </w:instrText>
        </w:r>
        <w:r>
          <w:rPr>
            <w:noProof/>
            <w:webHidden/>
          </w:rPr>
        </w:r>
        <w:r>
          <w:rPr>
            <w:noProof/>
            <w:webHidden/>
          </w:rPr>
          <w:fldChar w:fldCharType="separate"/>
        </w:r>
        <w:r>
          <w:rPr>
            <w:noProof/>
            <w:webHidden/>
          </w:rPr>
          <w:t>33</w:t>
        </w:r>
        <w:r>
          <w:rPr>
            <w:noProof/>
            <w:webHidden/>
          </w:rPr>
          <w:fldChar w:fldCharType="end"/>
        </w:r>
      </w:hyperlink>
    </w:p>
    <w:p w14:paraId="31356CAD"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512" w:history="1">
        <w:r w:rsidRPr="00E224C2">
          <w:rPr>
            <w:rStyle w:val="Hipercze"/>
            <w:noProof/>
          </w:rPr>
          <w:t>14B. Alerty strategiczne IRS – mapa ryzyk, których nie może przesłaniać średnia</w:t>
        </w:r>
        <w:r>
          <w:rPr>
            <w:noProof/>
            <w:webHidden/>
          </w:rPr>
          <w:tab/>
        </w:r>
        <w:r>
          <w:rPr>
            <w:noProof/>
            <w:webHidden/>
          </w:rPr>
          <w:fldChar w:fldCharType="begin"/>
        </w:r>
        <w:r>
          <w:rPr>
            <w:noProof/>
            <w:webHidden/>
          </w:rPr>
          <w:instrText xml:space="preserve"> PAGEREF _Toc236400512 \h </w:instrText>
        </w:r>
        <w:r>
          <w:rPr>
            <w:noProof/>
            <w:webHidden/>
          </w:rPr>
        </w:r>
        <w:r>
          <w:rPr>
            <w:noProof/>
            <w:webHidden/>
          </w:rPr>
          <w:fldChar w:fldCharType="separate"/>
        </w:r>
        <w:r>
          <w:rPr>
            <w:noProof/>
            <w:webHidden/>
          </w:rPr>
          <w:t>54</w:t>
        </w:r>
        <w:r>
          <w:rPr>
            <w:noProof/>
            <w:webHidden/>
          </w:rPr>
          <w:fldChar w:fldCharType="end"/>
        </w:r>
      </w:hyperlink>
    </w:p>
    <w:p w14:paraId="6996F6FF"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513" w:history="1">
        <w:r w:rsidRPr="00E224C2">
          <w:rPr>
            <w:rStyle w:val="Hipercze"/>
            <w:noProof/>
          </w:rPr>
          <w:t>15. Zależności systemowe – gdzie spotykają się filary</w:t>
        </w:r>
        <w:r>
          <w:rPr>
            <w:noProof/>
            <w:webHidden/>
          </w:rPr>
          <w:tab/>
        </w:r>
        <w:r>
          <w:rPr>
            <w:noProof/>
            <w:webHidden/>
          </w:rPr>
          <w:fldChar w:fldCharType="begin"/>
        </w:r>
        <w:r>
          <w:rPr>
            <w:noProof/>
            <w:webHidden/>
          </w:rPr>
          <w:instrText xml:space="preserve"> PAGEREF _Toc236400513 \h </w:instrText>
        </w:r>
        <w:r>
          <w:rPr>
            <w:noProof/>
            <w:webHidden/>
          </w:rPr>
        </w:r>
        <w:r>
          <w:rPr>
            <w:noProof/>
            <w:webHidden/>
          </w:rPr>
          <w:fldChar w:fldCharType="separate"/>
        </w:r>
        <w:r>
          <w:rPr>
            <w:noProof/>
            <w:webHidden/>
          </w:rPr>
          <w:t>61</w:t>
        </w:r>
        <w:r>
          <w:rPr>
            <w:noProof/>
            <w:webHidden/>
          </w:rPr>
          <w:fldChar w:fldCharType="end"/>
        </w:r>
      </w:hyperlink>
    </w:p>
    <w:p w14:paraId="5F8E7FC8"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514" w:history="1">
        <w:r w:rsidRPr="00E224C2">
          <w:rPr>
            <w:rStyle w:val="Hipercze"/>
            <w:noProof/>
          </w:rPr>
          <w:t>16. Aktualizacja i rewizje modelu IRS</w:t>
        </w:r>
        <w:r>
          <w:rPr>
            <w:noProof/>
            <w:webHidden/>
          </w:rPr>
          <w:tab/>
        </w:r>
        <w:r>
          <w:rPr>
            <w:noProof/>
            <w:webHidden/>
          </w:rPr>
          <w:fldChar w:fldCharType="begin"/>
        </w:r>
        <w:r>
          <w:rPr>
            <w:noProof/>
            <w:webHidden/>
          </w:rPr>
          <w:instrText xml:space="preserve"> PAGEREF _Toc236400514 \h </w:instrText>
        </w:r>
        <w:r>
          <w:rPr>
            <w:noProof/>
            <w:webHidden/>
          </w:rPr>
        </w:r>
        <w:r>
          <w:rPr>
            <w:noProof/>
            <w:webHidden/>
          </w:rPr>
          <w:fldChar w:fldCharType="separate"/>
        </w:r>
        <w:r>
          <w:rPr>
            <w:noProof/>
            <w:webHidden/>
          </w:rPr>
          <w:t>62</w:t>
        </w:r>
        <w:r>
          <w:rPr>
            <w:noProof/>
            <w:webHidden/>
          </w:rPr>
          <w:fldChar w:fldCharType="end"/>
        </w:r>
      </w:hyperlink>
    </w:p>
    <w:p w14:paraId="78C9121D"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515" w:history="1">
        <w:r w:rsidRPr="00E224C2">
          <w:rPr>
            <w:rStyle w:val="Hipercze"/>
            <w:noProof/>
          </w:rPr>
          <w:t>Aneks A. Pełna tabela wyników IRS 2020–2025</w:t>
        </w:r>
        <w:r>
          <w:rPr>
            <w:noProof/>
            <w:webHidden/>
          </w:rPr>
          <w:tab/>
        </w:r>
        <w:r>
          <w:rPr>
            <w:noProof/>
            <w:webHidden/>
          </w:rPr>
          <w:fldChar w:fldCharType="begin"/>
        </w:r>
        <w:r>
          <w:rPr>
            <w:noProof/>
            <w:webHidden/>
          </w:rPr>
          <w:instrText xml:space="preserve"> PAGEREF _Toc236400515 \h </w:instrText>
        </w:r>
        <w:r>
          <w:rPr>
            <w:noProof/>
            <w:webHidden/>
          </w:rPr>
        </w:r>
        <w:r>
          <w:rPr>
            <w:noProof/>
            <w:webHidden/>
          </w:rPr>
          <w:fldChar w:fldCharType="separate"/>
        </w:r>
        <w:r>
          <w:rPr>
            <w:noProof/>
            <w:webHidden/>
          </w:rPr>
          <w:t>64</w:t>
        </w:r>
        <w:r>
          <w:rPr>
            <w:noProof/>
            <w:webHidden/>
          </w:rPr>
          <w:fldChar w:fldCharType="end"/>
        </w:r>
      </w:hyperlink>
    </w:p>
    <w:p w14:paraId="54C8E968"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516" w:history="1">
        <w:r w:rsidRPr="00E224C2">
          <w:rPr>
            <w:rStyle w:val="Hipercze"/>
            <w:noProof/>
          </w:rPr>
          <w:t>Aneks B. Macierz dwudziestu subobszarów</w:t>
        </w:r>
        <w:r>
          <w:rPr>
            <w:noProof/>
            <w:webHidden/>
          </w:rPr>
          <w:tab/>
        </w:r>
        <w:r>
          <w:rPr>
            <w:noProof/>
            <w:webHidden/>
          </w:rPr>
          <w:fldChar w:fldCharType="begin"/>
        </w:r>
        <w:r>
          <w:rPr>
            <w:noProof/>
            <w:webHidden/>
          </w:rPr>
          <w:instrText xml:space="preserve"> PAGEREF _Toc236400516 \h </w:instrText>
        </w:r>
        <w:r>
          <w:rPr>
            <w:noProof/>
            <w:webHidden/>
          </w:rPr>
        </w:r>
        <w:r>
          <w:rPr>
            <w:noProof/>
            <w:webHidden/>
          </w:rPr>
          <w:fldChar w:fldCharType="separate"/>
        </w:r>
        <w:r>
          <w:rPr>
            <w:noProof/>
            <w:webHidden/>
          </w:rPr>
          <w:t>65</w:t>
        </w:r>
        <w:r>
          <w:rPr>
            <w:noProof/>
            <w:webHidden/>
          </w:rPr>
          <w:fldChar w:fldCharType="end"/>
        </w:r>
      </w:hyperlink>
    </w:p>
    <w:p w14:paraId="3AAF12D3"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517" w:history="1">
        <w:r w:rsidRPr="00E224C2">
          <w:rPr>
            <w:rStyle w:val="Hipercze"/>
            <w:noProof/>
          </w:rPr>
          <w:t>Aneks C. Portfel projektów strategicznych w 2025 r.</w:t>
        </w:r>
        <w:r>
          <w:rPr>
            <w:noProof/>
            <w:webHidden/>
          </w:rPr>
          <w:tab/>
        </w:r>
        <w:r>
          <w:rPr>
            <w:noProof/>
            <w:webHidden/>
          </w:rPr>
          <w:fldChar w:fldCharType="begin"/>
        </w:r>
        <w:r>
          <w:rPr>
            <w:noProof/>
            <w:webHidden/>
          </w:rPr>
          <w:instrText xml:space="preserve"> PAGEREF _Toc236400517 \h </w:instrText>
        </w:r>
        <w:r>
          <w:rPr>
            <w:noProof/>
            <w:webHidden/>
          </w:rPr>
        </w:r>
        <w:r>
          <w:rPr>
            <w:noProof/>
            <w:webHidden/>
          </w:rPr>
          <w:fldChar w:fldCharType="separate"/>
        </w:r>
        <w:r>
          <w:rPr>
            <w:noProof/>
            <w:webHidden/>
          </w:rPr>
          <w:t>66</w:t>
        </w:r>
        <w:r>
          <w:rPr>
            <w:noProof/>
            <w:webHidden/>
          </w:rPr>
          <w:fldChar w:fldCharType="end"/>
        </w:r>
      </w:hyperlink>
    </w:p>
    <w:p w14:paraId="6971EC89" w14:textId="77777777" w:rsidR="00CC6018" w:rsidRDefault="00CC6018">
      <w:pPr>
        <w:pStyle w:val="Spistreci1"/>
        <w:tabs>
          <w:tab w:val="right" w:leader="dot" w:pos="9742"/>
        </w:tabs>
        <w:rPr>
          <w:rFonts w:asciiTheme="minorHAnsi" w:hAnsiTheme="minorHAnsi"/>
          <w:noProof/>
          <w:kern w:val="2"/>
          <w:sz w:val="24"/>
          <w:szCs w:val="24"/>
          <w:lang w:eastAsia="pl-PL"/>
          <w14:ligatures w14:val="standardContextual"/>
        </w:rPr>
      </w:pPr>
      <w:hyperlink w:anchor="_Toc236400518" w:history="1">
        <w:r w:rsidRPr="00E224C2">
          <w:rPr>
            <w:rStyle w:val="Hipercze"/>
            <w:noProof/>
          </w:rPr>
          <w:t>Aneks D. Źródła danych i podstawa ocen</w:t>
        </w:r>
        <w:r>
          <w:rPr>
            <w:noProof/>
            <w:webHidden/>
          </w:rPr>
          <w:tab/>
        </w:r>
        <w:r>
          <w:rPr>
            <w:noProof/>
            <w:webHidden/>
          </w:rPr>
          <w:fldChar w:fldCharType="begin"/>
        </w:r>
        <w:r>
          <w:rPr>
            <w:noProof/>
            <w:webHidden/>
          </w:rPr>
          <w:instrText xml:space="preserve"> PAGEREF _Toc236400518 \h </w:instrText>
        </w:r>
        <w:r>
          <w:rPr>
            <w:noProof/>
            <w:webHidden/>
          </w:rPr>
        </w:r>
        <w:r>
          <w:rPr>
            <w:noProof/>
            <w:webHidden/>
          </w:rPr>
          <w:fldChar w:fldCharType="separate"/>
        </w:r>
        <w:r>
          <w:rPr>
            <w:noProof/>
            <w:webHidden/>
          </w:rPr>
          <w:t>68</w:t>
        </w:r>
        <w:r>
          <w:rPr>
            <w:noProof/>
            <w:webHidden/>
          </w:rPr>
          <w:fldChar w:fldCharType="end"/>
        </w:r>
      </w:hyperlink>
    </w:p>
    <w:p w14:paraId="528C3356" w14:textId="77777777" w:rsidR="00CC6018" w:rsidRDefault="00CC6018" w:rsidP="00CC6018">
      <w:pPr>
        <w:spacing w:line="259" w:lineRule="auto"/>
        <w:jc w:val="center"/>
      </w:pPr>
      <w:r>
        <w:fldChar w:fldCharType="end"/>
      </w:r>
    </w:p>
    <w:p w14:paraId="679A55D6" w14:textId="77777777" w:rsidR="00CC6018" w:rsidRDefault="00CC6018" w:rsidP="00CC6018">
      <w:pPr>
        <w:spacing w:line="259" w:lineRule="auto"/>
        <w:jc w:val="center"/>
      </w:pPr>
    </w:p>
    <w:p w14:paraId="26DBECA7" w14:textId="77777777" w:rsidR="00CC6018" w:rsidRDefault="00CC6018" w:rsidP="00CC6018">
      <w:pPr>
        <w:spacing w:line="259" w:lineRule="auto"/>
        <w:jc w:val="center"/>
      </w:pPr>
    </w:p>
    <w:p w14:paraId="5E128A73" w14:textId="77777777" w:rsidR="00CC6018" w:rsidRDefault="00CC6018" w:rsidP="00CC6018">
      <w:pPr>
        <w:spacing w:line="259" w:lineRule="auto"/>
        <w:jc w:val="center"/>
      </w:pPr>
    </w:p>
    <w:p w14:paraId="08563812" w14:textId="77777777" w:rsidR="00CC6018" w:rsidRDefault="00CC6018" w:rsidP="00CC6018">
      <w:pPr>
        <w:spacing w:line="259" w:lineRule="auto"/>
        <w:jc w:val="center"/>
      </w:pPr>
    </w:p>
    <w:p w14:paraId="6EB1B94B" w14:textId="77777777" w:rsidR="00CC6018" w:rsidRDefault="00CC6018" w:rsidP="00CC6018">
      <w:pPr>
        <w:spacing w:line="259" w:lineRule="auto"/>
        <w:jc w:val="center"/>
      </w:pPr>
    </w:p>
    <w:p w14:paraId="331E5946" w14:textId="77777777" w:rsidR="00CC6018" w:rsidRDefault="00CC6018" w:rsidP="00CC6018">
      <w:pPr>
        <w:spacing w:line="259" w:lineRule="auto"/>
        <w:jc w:val="center"/>
      </w:pPr>
    </w:p>
    <w:p w14:paraId="2E53A2FB" w14:textId="77777777" w:rsidR="00CC6018" w:rsidRDefault="00CC6018" w:rsidP="00CC6018">
      <w:pPr>
        <w:spacing w:line="259" w:lineRule="auto"/>
        <w:jc w:val="center"/>
      </w:pPr>
    </w:p>
    <w:p w14:paraId="59A034C6" w14:textId="77777777" w:rsidR="00CC6018" w:rsidRDefault="00CC6018" w:rsidP="00CC6018">
      <w:pPr>
        <w:spacing w:line="259" w:lineRule="auto"/>
        <w:jc w:val="center"/>
      </w:pPr>
    </w:p>
    <w:p w14:paraId="7215759B" w14:textId="77777777" w:rsidR="00CC6018" w:rsidRDefault="00CC6018" w:rsidP="00CC6018">
      <w:pPr>
        <w:spacing w:line="259" w:lineRule="auto"/>
        <w:jc w:val="center"/>
      </w:pPr>
    </w:p>
    <w:p w14:paraId="3C4DA7CE" w14:textId="77777777" w:rsidR="00CC6018" w:rsidRDefault="00CC6018" w:rsidP="00CC6018">
      <w:pPr>
        <w:spacing w:line="259" w:lineRule="auto"/>
        <w:jc w:val="center"/>
      </w:pPr>
    </w:p>
    <w:p w14:paraId="0A2B6447" w14:textId="77777777" w:rsidR="00CC6018" w:rsidRDefault="00CC6018" w:rsidP="00CC6018">
      <w:pPr>
        <w:spacing w:line="259" w:lineRule="auto"/>
        <w:jc w:val="center"/>
      </w:pPr>
    </w:p>
    <w:p w14:paraId="3DB2B47C" w14:textId="77777777" w:rsidR="00CC6018" w:rsidRDefault="00CC6018" w:rsidP="00CC6018">
      <w:pPr>
        <w:spacing w:line="259" w:lineRule="auto"/>
        <w:jc w:val="center"/>
      </w:pPr>
    </w:p>
    <w:p w14:paraId="0BC2D7D6" w14:textId="77777777" w:rsidR="00CC6018" w:rsidRDefault="00CC6018" w:rsidP="00CC6018">
      <w:pPr>
        <w:spacing w:line="259" w:lineRule="auto"/>
        <w:jc w:val="center"/>
      </w:pPr>
    </w:p>
    <w:p w14:paraId="4CDED79A" w14:textId="77777777" w:rsidR="00CC6018" w:rsidRDefault="00CC6018" w:rsidP="00CC6018">
      <w:pPr>
        <w:spacing w:line="259" w:lineRule="auto"/>
        <w:jc w:val="center"/>
      </w:pPr>
    </w:p>
    <w:p w14:paraId="1C0204E4" w14:textId="77777777" w:rsidR="00CC6018" w:rsidRDefault="00CC6018" w:rsidP="00CC6018">
      <w:pPr>
        <w:spacing w:line="259" w:lineRule="auto"/>
        <w:jc w:val="center"/>
      </w:pPr>
    </w:p>
    <w:p w14:paraId="14825F6B" w14:textId="77777777" w:rsidR="00CC6018" w:rsidRDefault="00CC6018" w:rsidP="00CC6018">
      <w:pPr>
        <w:spacing w:line="259" w:lineRule="auto"/>
        <w:jc w:val="center"/>
      </w:pPr>
    </w:p>
    <w:p w14:paraId="68935560" w14:textId="77777777" w:rsidR="00CC6018" w:rsidRDefault="00CC6018" w:rsidP="00CC6018">
      <w:pPr>
        <w:spacing w:line="259" w:lineRule="auto"/>
        <w:jc w:val="center"/>
      </w:pPr>
    </w:p>
    <w:p w14:paraId="773F24FB" w14:textId="77777777" w:rsidR="00CC6018" w:rsidRDefault="00CC6018" w:rsidP="00CC6018">
      <w:pPr>
        <w:spacing w:line="259" w:lineRule="auto"/>
      </w:pPr>
    </w:p>
    <w:p w14:paraId="4C7A9A9B" w14:textId="77777777" w:rsidR="00CC6018" w:rsidRDefault="00CC6018" w:rsidP="00CC6018">
      <w:pPr>
        <w:spacing w:line="259" w:lineRule="auto"/>
        <w:jc w:val="center"/>
      </w:pPr>
    </w:p>
    <w:p w14:paraId="168A1C08" w14:textId="77777777" w:rsidR="00537CA0" w:rsidRPr="00BA4F7F" w:rsidRDefault="00000000">
      <w:pPr>
        <w:pStyle w:val="ChapterKicker"/>
        <w:keepNext/>
        <w:keepLines/>
        <w:rPr>
          <w:lang w:val="pl-PL"/>
        </w:rPr>
      </w:pPr>
      <w:r w:rsidRPr="00BA4F7F">
        <w:rPr>
          <w:lang w:val="pl-PL"/>
        </w:rPr>
        <w:t>STRESZCZENIE ZARZĄDCZE</w:t>
      </w:r>
    </w:p>
    <w:p w14:paraId="5B6FD1D7" w14:textId="77777777" w:rsidR="00B64177" w:rsidRDefault="00B64177" w:rsidP="006646BA">
      <w:pPr>
        <w:pStyle w:val="IRSSummaryBody"/>
      </w:pPr>
      <w:r w:rsidRPr="00B64177">
        <w:t xml:space="preserve">Indeks Racji Stanu jest syntetyczną mapą strategicznych zdolności Rzeczypospolitej oraz narzędziem służącym uporządkowaniu rzetelnej, opartej na danych debaty o długofalowych interesach państwa i kierunkach jego rozwoju. W tradycji nowożytnej racja stanu oznaczała przede wszystkim wiedzę i zasadę działania ukierunkowaną na zachowanie, bezpieczeństwo i wzmacnianie państwa; bywała również przywoływana jako uzasadnienie decyzji podejmowanych w warunkach politycznej konieczności. IRS przekłada tę ogólną kategorię na współczesne, wielowymiarowe narzędzie diagnostyczne. Nie wskazuje jednego „właściwego” kierunku polityki ani nie utożsamia racji stanu z bieżącym interesem rządu, lecz ocenia, czy państwo dysponuje zasobami, instytucjami i mechanizmami pozwalającymi chronić suwerenność i bezpieczeństwo, zapewniać trwały rozwój oraz zachować ciągłość wspólnoty politycznej w długim horyzoncie. W jednej architekturze analitycznej IRS łączy gospodarkę, bezpieczeństwo, demografię, spójność społeczną, realizację projektów strategicznych i ład instytucjonalny, opierając ocenę na starannie dobranych wskaźnikach, danych ze źródeł publicznych, publikacjach naukowych, raportach i analizie OSINT, uzupełnianych ograniczonym komponentem eksperckim w obszarach trudniej kwantyfikowalnych. IRS nie zastępuje pogłębionych analiz sektorowych ani osądu politycznego; tworzy natomiast wspólną podstawę do rozpoznawania źródeł siły państwa, narastających </w:t>
      </w:r>
      <w:proofErr w:type="spellStart"/>
      <w:r w:rsidRPr="00B64177">
        <w:t>ryzyk</w:t>
      </w:r>
      <w:proofErr w:type="spellEnd"/>
      <w:r w:rsidRPr="00B64177">
        <w:t xml:space="preserve"> oraz obszarów wymagających strategicznej reakcji.</w:t>
      </w:r>
    </w:p>
    <w:p w14:paraId="0B6836C9" w14:textId="4B537301" w:rsidR="006646BA" w:rsidRPr="00BA4F7F" w:rsidRDefault="006646BA" w:rsidP="006646BA">
      <w:pPr>
        <w:pStyle w:val="IRSSummaryBody"/>
      </w:pPr>
      <w:r>
        <w:t>W 2025 r. wartość IRS wynosi 55,0 pkt, co oznacza słabą lub niepełną odporność państwa. Od 2020 r. wynik obniżył się o 5,7 pkt, a po wyraźnym pogorszeniu w 2024 r. nastąpiła jedynie stabilizacja na niższym poziomie, nie zaś powrót do wcześniejszej trajektorii. Zbliżone wyniki obu filarów — 55,5 pkt dla Kondycji systemowej i 54,3 pkt dla Strategii i państwa — mogą sugerować równowagę, lecz w istocie ukrywają odmienne słabości. Pierwszy filar obciążają przede wszystkim demografia, finanse publiczne i kapitał społeczny; drugi — głęboki deficyt ładu instytucjonalnego, współistniejący z relatywnie silnym portfelem projektów strategicznych. Polska nie jest państwem niesprawnym. Potrafi reagować na zagrożenia, utrzymywać wysoki poziom zatrudnienia, finansować podstawowe funkcje oraz prowadzić duże przedsięwzięcia infrastrukturalne i obronne. Problemem staje się jednak rosnący koszt podtrzymywania i ponawiania tej sprawczości.</w:t>
      </w:r>
    </w:p>
    <w:p w14:paraId="380A858D" w14:textId="77777777" w:rsidR="006646BA" w:rsidRPr="00BA4F7F" w:rsidRDefault="006646BA" w:rsidP="006646BA">
      <w:pPr>
        <w:pStyle w:val="IRSSummaryBody"/>
      </w:pPr>
      <w:r w:rsidRPr="00BA4F7F">
        <w:t xml:space="preserve">Najsilniejsze wyniki dotyczą bezpieczeństwa, rynku pracy, równowagi zewnętrznej oraz części projektów strategicznych. Modernizacja obronna, rozwój infrastruktury energetycznej i transportowej oraz postęp usług cyfrowych tworzą realne aktywa państwa. Wysoka ocena nie jest jednak równoznaczna z pełną zdolnością. Zakup uzbrojenia wymaga zapasów, szkolenia, serwisu i integracji; infrastruktura — kadr, energii i trwałego finansowania utrzymania; usługi cyfrowe — </w:t>
      </w:r>
      <w:proofErr w:type="spellStart"/>
      <w:r w:rsidRPr="00BA4F7F">
        <w:t>cyberodporności</w:t>
      </w:r>
      <w:proofErr w:type="spellEnd"/>
      <w:r w:rsidRPr="00BA4F7F">
        <w:t>, kontroli danych i zdolności odtworzenia systemów. Również bardzo silny rynek pracy jest jednocześnie atutem i ostrzeżeniem, ponieważ pełne wykorzystanie zasobów pracy oznacza malejącą rezerwę kadrową dla przedsiębiorstw, ochrony zdrowia, wojska i administracji.</w:t>
      </w:r>
    </w:p>
    <w:p w14:paraId="06B24579" w14:textId="77777777" w:rsidR="006646BA" w:rsidRPr="00BA4F7F" w:rsidRDefault="006646BA" w:rsidP="006646BA">
      <w:pPr>
        <w:pStyle w:val="IRSSummaryBody"/>
      </w:pPr>
      <w:r w:rsidRPr="00BA4F7F">
        <w:t>Najpoważniejsze słabości dotyczą zasobów, których nie można szybko odbudować. Demografia osiąga 29,4 pkt, a Dzietność 6,0 pkt; Ład instytucjonalny 34,7 pkt, a Ciągłość konstytucyjna 16,7 pkt. Ograniczona przestrzeń fiskalna, niski kapitał społeczny i słaba zdolność do trwałego wdrażania regulacji zwiększają koszt wszystkich pozostałych polityk. Utraconego rocznika urodzeń, wieloletniego zaufania ani przewidywalności prawa nie można odtworzyć jedną ustawą czy dodatkowym budżetem. Z tego powodu stabilny wynik główny może przesłaniać pogłębianie się problemów o wysokiej bezwładności. Panel alertów wykazuje 2 alerty krytyczne, 4 dominujące statusy wysokiego ryzyka, 2 spełnione warunki utrwalonego wysokiego ryzyka, 12 warunków pogorszenia strukturalnego, 0 alertów szybkiego pogorszenia i 5 sygnałów trwałej słabości; kategorie mogą się nakładać.</w:t>
      </w:r>
    </w:p>
    <w:p w14:paraId="001FDEDF" w14:textId="77777777" w:rsidR="006646BA" w:rsidRPr="00BA4F7F" w:rsidRDefault="006646BA" w:rsidP="006646BA">
      <w:pPr>
        <w:pStyle w:val="IRSSummaryBody"/>
      </w:pPr>
      <w:r>
        <w:t>Szczególnie istotna jest rozbieżność między relatywnie wysoką oceną Projektów strategicznych — 73,9 pkt — a niskim wynikiem Ładu instytucjonalnego — 34,7 pkt. Oznacza ona, że państwo potrafi trafnie rozpoznawać strategiczne potrzeby i prowadzić wybrane przedsięwzięcia, zwłaszcza gdy mają one silny priorytet polityczny, stabilne finansowanie i wyodrębnionego właściciela. Nie posiada jednak równie silnej zdolności do zapewniania podobnej jakości wykonania w całym systemie. Sukces coraz częściej zależy więc od specjalnych ustaw, struktur celowych, finansowania poza standardowym procesem albo stałej presji kierownictwa państwa. Mechanizm ten pozwala dostarczać pojedyncze rezultaty, lecz nie zastępuje przewidywalnych reguł, odpowiedzialności za pełny efekt i instytucjonalnego uczenia się. Z perspektywy racji stanu prawdziwym testem nie jest liczba wyjątkowych projektów zakończonych sukcesem, ale zdolność państwa do powtarzalnego osiągania takich rezultatów bez każdorazowego tworzenia nadzwyczajnych warunków.</w:t>
      </w:r>
    </w:p>
    <w:p w14:paraId="61B5AF0E" w14:textId="77777777" w:rsidR="006646BA" w:rsidRPr="00BA4F7F" w:rsidRDefault="006646BA" w:rsidP="006646BA">
      <w:pPr>
        <w:pStyle w:val="IRSSummaryBody"/>
      </w:pPr>
      <w:r w:rsidRPr="00BA4F7F">
        <w:t>Najważniejszy wniosek ma charakter systemowy: Polska pozostaje silniejsza w mobilizowaniu zasobów niż w ich regenerowaniu. Potrafi szybko zwiększyć wydatki, uruchomić program, powołać strukturę specjalną, lecz znacznie wolniej odtwarza rezerwy finansowe, zaufanie, stabilne reguły i rutynową zdolność współpracy instytucji. Powstaje w ten sposób ukryte zobowiązanie strategiczne: im więcej aktywów państwo tworzy, tym większych potrzebuje w przyszłości nakładów na personel, energię, serwis, modernizację i ochronę prawną. Jeżeli zaplecze regeneracyjne nie rozwija się w podobnym tempie, kolejne sukcesy mogą paradoksalnie zawężać margines działania zamiast go poszerzać.</w:t>
      </w:r>
    </w:p>
    <w:p w14:paraId="1209A613" w14:textId="77777777" w:rsidR="006646BA" w:rsidRPr="00BA4F7F" w:rsidRDefault="006646BA" w:rsidP="006646BA">
      <w:pPr>
        <w:pStyle w:val="IRSSummaryBody"/>
      </w:pPr>
      <w:r w:rsidRPr="00BA4F7F">
        <w:t>Dla kierownictwa państwa oznacza to konieczność przejścia od zarządzania wydatkami, programami i pojedynczymi projektami do zarządzania pełnymi zdolnościami. Priorytetem powinny być: odbudowa przestrzeni fiskalnej bez wypierania inwestycji, ochrona zasobów demograficznych i społecznych, powiązanie modernizacji wojskowej z odpornością cywilną i przemysłową, zapewnienie przewidywalnego i egzekwowalnego ładu instytucjonalnego oraz finansowanie całego cyklu życia aktywów. Państwo realizujące rację stanu nie tylko potrafi podjąć nadzwyczajny wysiłek. Potrafi również utrzymać go, odtworzyć i ponowić bez trwałego zużywania własnych podstaw.</w:t>
      </w:r>
    </w:p>
    <w:p w14:paraId="1734DDAE" w14:textId="77777777" w:rsidR="00843C23" w:rsidRPr="00BA4F7F" w:rsidRDefault="00000000">
      <w:pPr>
        <w:pStyle w:val="ChapterKicker"/>
        <w:keepNext/>
        <w:keepLines/>
        <w:pageBreakBefore/>
        <w:rPr>
          <w:lang w:val="pl-PL"/>
        </w:rPr>
      </w:pPr>
      <w:r w:rsidRPr="00BA4F7F">
        <w:rPr>
          <w:lang w:val="pl-PL"/>
        </w:rPr>
        <w:lastRenderedPageBreak/>
        <w:t>MATERIAŁ OTWIERAJĄCY</w:t>
      </w:r>
    </w:p>
    <w:p w14:paraId="62290738" w14:textId="77777777" w:rsidR="00843C23" w:rsidRPr="00BA4F7F" w:rsidRDefault="00000000">
      <w:pPr>
        <w:pStyle w:val="Nagwek1"/>
        <w:spacing w:before="0"/>
      </w:pPr>
      <w:bookmarkStart w:id="0" w:name="_Toc236400270"/>
      <w:bookmarkStart w:id="1" w:name="_Toc236400497"/>
      <w:r w:rsidRPr="00BA4F7F">
        <w:t>1. Synteza strategiczna</w:t>
      </w:r>
      <w:bookmarkEnd w:id="0"/>
      <w:bookmarkEnd w:id="1"/>
    </w:p>
    <w:tbl>
      <w:tblPr>
        <w:tblW w:w="0" w:type="auto"/>
        <w:tblLayout w:type="fixed"/>
        <w:tblLook w:val="04A0" w:firstRow="1" w:lastRow="0" w:firstColumn="1" w:lastColumn="0" w:noHBand="0" w:noVBand="1"/>
      </w:tblPr>
      <w:tblGrid>
        <w:gridCol w:w="1872"/>
        <w:gridCol w:w="7200"/>
      </w:tblGrid>
      <w:tr w:rsidR="00843C23" w:rsidRPr="00BA4F7F" w14:paraId="2A2ADCB1" w14:textId="77777777">
        <w:trPr>
          <w:cantSplit/>
        </w:trPr>
        <w:tc>
          <w:tcPr>
            <w:tcW w:w="1872" w:type="dxa"/>
            <w:shd w:val="clear" w:color="auto" w:fill="1F4E79"/>
            <w:vAlign w:val="center"/>
          </w:tcPr>
          <w:p w14:paraId="5B06D339" w14:textId="77777777" w:rsidR="00843C23" w:rsidRPr="00BA4F7F" w:rsidRDefault="00000000">
            <w:pPr>
              <w:jc w:val="center"/>
            </w:pPr>
            <w:r>
              <w:rPr>
                <w:b/>
                <w:color w:val="FFFFFF"/>
                <w:sz w:val="48"/>
              </w:rPr>
              <w:t>55,0</w:t>
            </w:r>
          </w:p>
        </w:tc>
        <w:tc>
          <w:tcPr>
            <w:tcW w:w="7200" w:type="dxa"/>
            <w:shd w:val="clear" w:color="auto" w:fill="F3F6F9"/>
            <w:vAlign w:val="center"/>
          </w:tcPr>
          <w:p w14:paraId="2FE2106B" w14:textId="77777777" w:rsidR="00843C23" w:rsidRPr="00BA4F7F" w:rsidRDefault="00000000">
            <w:r w:rsidRPr="00BA4F7F">
              <w:rPr>
                <w:b/>
                <w:color w:val="17365D"/>
                <w:sz w:val="22"/>
              </w:rPr>
              <w:t>słaba lub niepełna odporność</w:t>
            </w:r>
          </w:p>
          <w:p w14:paraId="0E9CA321" w14:textId="77777777" w:rsidR="00843C23" w:rsidRPr="00BA4F7F" w:rsidRDefault="00000000">
            <w:r w:rsidRPr="00BA4F7F">
              <w:rPr>
                <w:color w:val="666666"/>
                <w:sz w:val="16"/>
              </w:rPr>
              <w:t xml:space="preserve">Ocena w skali 0–100 pkt. </w:t>
            </w:r>
          </w:p>
        </w:tc>
      </w:tr>
    </w:tbl>
    <w:p w14:paraId="49613284" w14:textId="77777777" w:rsidR="00843C23" w:rsidRPr="00BA4F7F" w:rsidRDefault="00000000">
      <w:pPr>
        <w:pStyle w:val="Lead"/>
        <w:keepNext/>
        <w:spacing w:line="259" w:lineRule="auto"/>
        <w:rPr>
          <w:lang w:val="pl-PL"/>
        </w:rPr>
      </w:pPr>
      <w:r w:rsidRPr="00BA4F7F">
        <w:rPr>
          <w:lang w:val="pl-PL"/>
        </w:rPr>
        <w:t>IRS pokazuje państwo o znacznej zdolności reakcji, lecz coraz mniejszym marginesie fiskalnym, ludnościowym i instytucjonalnym do jej powtarzania.</w:t>
      </w:r>
    </w:p>
    <w:p w14:paraId="30DBBEFB" w14:textId="77777777" w:rsidR="00843C23" w:rsidRPr="00BA4F7F" w:rsidRDefault="00000000">
      <w:pPr>
        <w:spacing w:line="259" w:lineRule="auto"/>
      </w:pPr>
      <w:r>
        <w:t>W 2025 r. Indeks Racji Stanu osiąga 55,0 pkt. W porównaniu z 2020 r. oznacza spadek o 5,7 pkt. Najważniejszy nie jest jednak sam poziom, lecz kształt trajektorii. W latach 2020–2022 wynik utrzymywał się w przedziale 60,7–61,3 pkt mimo pandemii, kryzysu energetycznego, inflacji, wojny za wschodnią granicą i presji migracyjnej. W 2023 r. obniżył się do 60,3 pkt, a w 2024 r. nastąpiło przejście do 55,0 pkt. Rok 2025 nie przyniósł materialnej zmiany — wynik pozostał na poziomie 55,0 pkt po zaokrągleniu — bez odbudowy wcześniejszej trajektorii.</w:t>
      </w:r>
    </w:p>
    <w:p w14:paraId="793A7288" w14:textId="77777777" w:rsidR="00843C23" w:rsidRPr="00BA4F7F" w:rsidRDefault="00000000">
      <w:pPr>
        <w:spacing w:line="259" w:lineRule="auto"/>
      </w:pPr>
      <w:r w:rsidRPr="00BA4F7F">
        <w:t>Ten przebieg wskazuje nie na natychmiastowe załamanie zdolności państwa, lecz na utrwalenie niższego poziomu równowagi. Polska nadal posiada narzędzia do prowadzenia polityki bezpieczeństwa, obsługi masowych usług, utrzymywania rynku pracy oraz realizacji części dużych programów. Jednocześnie rosną koszty utrzymywania tej sprawczości, a słabości demograficzne i instytucjonalne nie są zdarzeniami jednorazowymi: mają charakter kumulacyjny i długookresowy.</w:t>
      </w:r>
    </w:p>
    <w:p w14:paraId="5248B2F5" w14:textId="77777777" w:rsidR="003357E9" w:rsidRPr="00BA4F7F" w:rsidRDefault="00000000">
      <w:pPr>
        <w:keepNext/>
        <w:keepLines/>
        <w:jc w:val="center"/>
      </w:pPr>
      <w:r w:rsidRPr="00BA4F7F">
        <w:rPr>
          <w:noProof/>
        </w:rPr>
        <w:drawing>
          <wp:inline distT="0" distB="0" distL="0" distR="0" wp14:anchorId="12E86FEA" wp14:editId="7A1A12FC">
            <wp:extent cx="5806440" cy="3061804"/>
            <wp:effectExtent l="0" t="0" r="0" b="0"/>
            <wp:docPr id="1690576341" name="Picture 1690576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rs_14_trend.png"/>
                    <pic:cNvPicPr/>
                  </pic:nvPicPr>
                  <pic:blipFill>
                    <a:blip r:embed="rId8"/>
                    <a:stretch>
                      <a:fillRect/>
                    </a:stretch>
                  </pic:blipFill>
                  <pic:spPr>
                    <a:xfrm>
                      <a:off x="0" y="0"/>
                      <a:ext cx="5806440" cy="3061804"/>
                    </a:xfrm>
                    <a:prstGeom prst="rect">
                      <a:avLst/>
                    </a:prstGeom>
                  </pic:spPr>
                </pic:pic>
              </a:graphicData>
            </a:graphic>
          </wp:inline>
        </w:drawing>
      </w:r>
    </w:p>
    <w:p w14:paraId="4A063C0B" w14:textId="77777777" w:rsidR="00843C23" w:rsidRPr="00BA4F7F" w:rsidRDefault="00000000">
      <w:pPr>
        <w:pStyle w:val="Legenda"/>
        <w:keepNext/>
        <w:keepLines/>
        <w:jc w:val="center"/>
      </w:pPr>
      <w:r w:rsidRPr="00BA4F7F">
        <w:t>Wykres 1. Wynik główny IRS i wyniki filarów w latach 2020–2025.</w:t>
      </w:r>
    </w:p>
    <w:p w14:paraId="6C3A4012" w14:textId="77777777" w:rsidR="002E36FE" w:rsidRPr="00BA4F7F" w:rsidRDefault="002E36FE">
      <w:pPr>
        <w:spacing w:line="259" w:lineRule="auto"/>
      </w:pPr>
    </w:p>
    <w:p w14:paraId="11B8D6B9" w14:textId="77777777" w:rsidR="00843C23" w:rsidRPr="00BA4F7F" w:rsidRDefault="00000000">
      <w:pPr>
        <w:spacing w:line="259" w:lineRule="auto"/>
      </w:pPr>
      <w:r w:rsidRPr="00BA4F7F">
        <w:t>Filar I – Kondycja systemowa osiąga 55,5 pkt. Jego profil jest wyraźnie asymetryczny. Bezpieczeństwo i część gospodarki stabilizują wynik, ale Demografia znajduje się poniżej 30 pkt. W ramach gospodarki rynek pracy i równowaga zewnętrzna pozostają relatywnie mocne, podczas gdy finanse publiczne i inwestycje ograniczają przyszłą przestrzeń działania. W spójności społecznej poprawie materialnych warunków życia nie odpowiada odbudowa zaufania oraz kapitału wspólnotowego.</w:t>
      </w:r>
    </w:p>
    <w:p w14:paraId="7B122523" w14:textId="77777777" w:rsidR="00EB1D01" w:rsidRPr="00EB1D01" w:rsidRDefault="00EB1D01" w:rsidP="00EB1D01">
      <w:pPr>
        <w:spacing w:line="259" w:lineRule="auto"/>
      </w:pPr>
      <w:r>
        <w:t xml:space="preserve">Filar II – Strategia i państwo osiąga 54,3 pkt, łącząc dwa wyraźnie rozbieżne wyniki: 73,9 pkt dla Projektów strategicznych i 34,7 pkt dla Ładu instytucjonalnego. Polska na ogół trafnie identyfikuje potrzeby energetyczne, transportowe i obronne, lecz w Energetyce wysoki efekt strategiczny coraz wyraźniej kontrastuje ze słabszym harmonogramem, kompletnością systemową i zarządzaniem kosztami. Cyfryzacja ujawnia natomiast nierówną dojrzałość: rozwój usług wyprzedza </w:t>
      </w:r>
      <w:proofErr w:type="spellStart"/>
      <w:r>
        <w:t>cyberodporność</w:t>
      </w:r>
      <w:proofErr w:type="spellEnd"/>
      <w:r>
        <w:t>, architekturę danych, zdolności chmurowe i technologie przełomowe. Słabszą stroną państwa pozostaje utrzymywanie realistycznych harmonogramów, stabilnych linii bazowych i odpowiedzialności za pełny efekt inwestycji, a w wymiarze instytucjonalnym – wspólna podstawa legalności, przewidywalność prawa i trwałość porządku konstytucyjnego.</w:t>
      </w:r>
    </w:p>
    <w:p w14:paraId="022796D2" w14:textId="77777777" w:rsidR="00843C23" w:rsidRPr="00BA4F7F" w:rsidRDefault="00843C23">
      <w:pPr>
        <w:spacing w:line="259" w:lineRule="auto"/>
      </w:pPr>
    </w:p>
    <w:p w14:paraId="43D1A75E" w14:textId="77777777" w:rsidR="00843C23" w:rsidRPr="00BA4F7F" w:rsidRDefault="00000000">
      <w:pPr>
        <w:keepNext/>
        <w:keepLines/>
        <w:spacing w:before="80" w:after="60" w:line="259" w:lineRule="auto"/>
        <w:jc w:val="center"/>
      </w:pPr>
      <w:r w:rsidRPr="00BA4F7F">
        <w:rPr>
          <w:noProof/>
        </w:rPr>
        <w:lastRenderedPageBreak/>
        <w:drawing>
          <wp:inline distT="0" distB="0" distL="0" distR="0" wp14:anchorId="41A0403A" wp14:editId="7BBB40F1">
            <wp:extent cx="5746750" cy="2933567"/>
            <wp:effectExtent l="0" t="0" r="6350" b="0"/>
            <wp:docPr id="4" name="Picture 4" descr="Wykres 2. Sześć subindeksów IRS w 2025 r." title="Wykr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subindeksy_2025.png"/>
                    <pic:cNvPicPr/>
                  </pic:nvPicPr>
                  <pic:blipFill>
                    <a:blip r:embed="rId9"/>
                    <a:stretch>
                      <a:fillRect/>
                    </a:stretch>
                  </pic:blipFill>
                  <pic:spPr>
                    <a:xfrm>
                      <a:off x="0" y="0"/>
                      <a:ext cx="5749756" cy="2935101"/>
                    </a:xfrm>
                    <a:prstGeom prst="rect">
                      <a:avLst/>
                    </a:prstGeom>
                  </pic:spPr>
                </pic:pic>
              </a:graphicData>
            </a:graphic>
          </wp:inline>
        </w:drawing>
      </w:r>
    </w:p>
    <w:p w14:paraId="5D0E9A04" w14:textId="77777777" w:rsidR="00843C23" w:rsidRDefault="00000000">
      <w:pPr>
        <w:pStyle w:val="Legenda"/>
        <w:keepNext/>
        <w:keepLines/>
        <w:jc w:val="center"/>
      </w:pPr>
      <w:r w:rsidRPr="00BA4F7F">
        <w:t xml:space="preserve">Wykres 2. Sześć </w:t>
      </w:r>
      <w:proofErr w:type="spellStart"/>
      <w:r w:rsidRPr="00BA4F7F">
        <w:t>subindeksów</w:t>
      </w:r>
      <w:proofErr w:type="spellEnd"/>
      <w:r w:rsidRPr="00BA4F7F">
        <w:t xml:space="preserve"> IRS w 2025 r.</w:t>
      </w:r>
    </w:p>
    <w:p w14:paraId="14376645" w14:textId="77777777" w:rsidR="00EB1D01" w:rsidRPr="00EB1D01" w:rsidRDefault="00EB1D01" w:rsidP="00EB1D01"/>
    <w:p w14:paraId="2C5B1E3D" w14:textId="77777777" w:rsidR="00843C23" w:rsidRPr="00BA4F7F" w:rsidRDefault="00000000">
      <w:pPr>
        <w:spacing w:line="259" w:lineRule="auto"/>
      </w:pPr>
      <w:r>
        <w:t xml:space="preserve">Dwa </w:t>
      </w:r>
      <w:proofErr w:type="spellStart"/>
      <w:r>
        <w:t>subindeksy</w:t>
      </w:r>
      <w:proofErr w:type="spellEnd"/>
      <w:r>
        <w:t xml:space="preserve"> odpowiadają za zdecydowaną większość pogorszenia względem 2020 r.: Demografia obniża wynik główny o 3,81 pkt, a Ład instytucjonalny o 2,60 pkt. Gospodarka i Bezpieczeństwo kompensują łącznie 1,70 pkt, natomiast Spójność społeczna odejmuje 0,43 pkt, a Projekty strategiczne 0,53 pkt. Łączny spadek wynosi 5,68 pkt, czyli 5,7 pkt po zaokrągleniu. Poprawa zdolności reaktywnych nie równoważy degradacji zasobów wymagających wieloletniej odbudowy. W Projektach strategicznych istotne pozostają spadek Cyfryzacji oraz rosnące znaczenie kosztów systemowych, sieci, elastyczności i magazynów w Energetyce.</w:t>
      </w:r>
    </w:p>
    <w:p w14:paraId="3EA3D457" w14:textId="77777777" w:rsidR="00843C23" w:rsidRPr="00BA4F7F" w:rsidRDefault="00000000">
      <w:pPr>
        <w:keepNext/>
        <w:keepLines/>
        <w:spacing w:before="80" w:after="60" w:line="259" w:lineRule="auto"/>
        <w:jc w:val="center"/>
      </w:pPr>
      <w:r w:rsidRPr="00BA4F7F">
        <w:rPr>
          <w:noProof/>
        </w:rPr>
        <w:drawing>
          <wp:inline distT="0" distB="0" distL="0" distR="0" wp14:anchorId="39C227A1" wp14:editId="68771AAF">
            <wp:extent cx="5426049" cy="3163586"/>
            <wp:effectExtent l="0" t="0" r="0" b="0"/>
            <wp:docPr id="5" name="Picture 5" descr="Wykres 3. Wkład subindeksów do zmiany wyniku IRS między 2020 a 2025 r." title="Wykre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wklad_zmiana.png"/>
                    <pic:cNvPicPr/>
                  </pic:nvPicPr>
                  <pic:blipFill>
                    <a:blip r:embed="rId10"/>
                    <a:stretch>
                      <a:fillRect/>
                    </a:stretch>
                  </pic:blipFill>
                  <pic:spPr>
                    <a:xfrm>
                      <a:off x="0" y="0"/>
                      <a:ext cx="5426049" cy="3163586"/>
                    </a:xfrm>
                    <a:prstGeom prst="rect">
                      <a:avLst/>
                    </a:prstGeom>
                  </pic:spPr>
                </pic:pic>
              </a:graphicData>
            </a:graphic>
          </wp:inline>
        </w:drawing>
      </w:r>
    </w:p>
    <w:p w14:paraId="2E15E0B4" w14:textId="77777777" w:rsidR="00843C23" w:rsidRPr="00BA4F7F" w:rsidRDefault="00000000" w:rsidP="002E36FE">
      <w:pPr>
        <w:pStyle w:val="Legenda"/>
        <w:keepNext/>
        <w:keepLines/>
        <w:jc w:val="center"/>
      </w:pPr>
      <w:r w:rsidRPr="00BA4F7F">
        <w:t xml:space="preserve">Wykres 3. Wkład </w:t>
      </w:r>
      <w:proofErr w:type="spellStart"/>
      <w:r w:rsidRPr="00BA4F7F">
        <w:t>subindeksów</w:t>
      </w:r>
      <w:proofErr w:type="spellEnd"/>
      <w:r w:rsidRPr="00BA4F7F">
        <w:t xml:space="preserve"> do zmiany wyniku IRS między 2020 a 2025 r.</w:t>
      </w:r>
    </w:p>
    <w:tbl>
      <w:tblPr>
        <w:tblW w:w="0" w:type="auto"/>
        <w:jc w:val="center"/>
        <w:tblLayout w:type="fixed"/>
        <w:tblLook w:val="04A0" w:firstRow="1" w:lastRow="0" w:firstColumn="1" w:lastColumn="0" w:noHBand="0" w:noVBand="1"/>
      </w:tblPr>
      <w:tblGrid>
        <w:gridCol w:w="9432"/>
      </w:tblGrid>
      <w:tr w:rsidR="00843C23" w:rsidRPr="00BA4F7F" w14:paraId="4B8D9E94" w14:textId="77777777">
        <w:trPr>
          <w:cantSplit/>
          <w:jc w:val="center"/>
        </w:trPr>
        <w:tc>
          <w:tcPr>
            <w:tcW w:w="9432" w:type="dxa"/>
            <w:tcBorders>
              <w:top w:val="single" w:sz="8" w:space="0" w:color="1F4E79"/>
              <w:left w:val="single" w:sz="8" w:space="0" w:color="1F4E79"/>
              <w:bottom w:val="single" w:sz="8" w:space="0" w:color="1F4E79"/>
              <w:right w:val="single" w:sz="8" w:space="0" w:color="1F4E79"/>
            </w:tcBorders>
            <w:shd w:val="clear" w:color="auto" w:fill="D9EAF7"/>
            <w:tcMar>
              <w:top w:w="130" w:type="dxa"/>
              <w:left w:w="160" w:type="dxa"/>
              <w:bottom w:w="130" w:type="dxa"/>
              <w:right w:w="160" w:type="dxa"/>
            </w:tcMar>
            <w:vAlign w:val="center"/>
          </w:tcPr>
          <w:p w14:paraId="185A1DBA" w14:textId="77777777" w:rsidR="00843C23" w:rsidRPr="00BA4F7F" w:rsidRDefault="002E36FE">
            <w:pPr>
              <w:spacing w:after="60"/>
            </w:pPr>
            <w:r w:rsidRPr="00BA4F7F">
              <w:rPr>
                <w:b/>
                <w:color w:val="1F4E79"/>
                <w:sz w:val="21"/>
              </w:rPr>
              <w:t>Wyzwanie strategiczne</w:t>
            </w:r>
          </w:p>
          <w:p w14:paraId="54333539" w14:textId="77777777" w:rsidR="00843C23" w:rsidRPr="00BA4F7F" w:rsidRDefault="00000000">
            <w:pPr>
              <w:spacing w:after="0"/>
            </w:pPr>
            <w:r w:rsidRPr="00BA4F7F">
              <w:t xml:space="preserve">Państwo może przez pewien czas kompensować słabsze instytucje specjalnymi strukturami, finansowaniem celowym i presją kryzysową. Nie może jednak w nieskończoność kompensować kryzysu demograficznego, ograniczonej przestrzeni fiskalnej i braku stabilnych reguł. </w:t>
            </w:r>
          </w:p>
        </w:tc>
      </w:tr>
    </w:tbl>
    <w:p w14:paraId="13096990" w14:textId="77777777" w:rsidR="00843C23" w:rsidRPr="00BA4F7F" w:rsidRDefault="00843C23">
      <w:pPr>
        <w:spacing w:after="20" w:line="259" w:lineRule="auto"/>
      </w:pPr>
    </w:p>
    <w:p w14:paraId="6B236BF6" w14:textId="77777777" w:rsidR="00843C23" w:rsidRPr="00BA4F7F" w:rsidRDefault="00000000">
      <w:pPr>
        <w:spacing w:after="0" w:line="240" w:lineRule="auto"/>
      </w:pPr>
      <w:r w:rsidRPr="00BA4F7F">
        <w:t>Z perspektywy racji stanu odpowiedź nie polega na mnożeniu kolejnych programów. Wymaga odbudowy warunków ciągłości: stabilnych rodzin i wspólnot, odpowiedzialności fiskalnej, ochrony granic i ludności, państwa prawa o wspólnie uznawanej legalności, krajowych zdolności technologicznych oraz instytucji zdolnych prowadzić strategiczne projekty ponad cyklami politycznymi.</w:t>
      </w:r>
    </w:p>
    <w:p w14:paraId="48F1B47A" w14:textId="77777777" w:rsidR="00843C23" w:rsidRPr="00BA4F7F" w:rsidRDefault="00000000" w:rsidP="002E36FE">
      <w:pPr>
        <w:spacing w:line="259" w:lineRule="auto"/>
      </w:pPr>
      <w:r w:rsidRPr="00BA4F7F">
        <w:br w:type="page"/>
      </w:r>
      <w:r w:rsidRPr="00BA4F7F">
        <w:lastRenderedPageBreak/>
        <w:t>WYNIK I TREND</w:t>
      </w:r>
    </w:p>
    <w:p w14:paraId="7BA58CC0" w14:textId="77777777" w:rsidR="00843C23" w:rsidRPr="00BA4F7F" w:rsidRDefault="00000000">
      <w:pPr>
        <w:pStyle w:val="Nagwek1"/>
        <w:spacing w:before="0"/>
      </w:pPr>
      <w:bookmarkStart w:id="2" w:name="_Toc236400271"/>
      <w:bookmarkStart w:id="3" w:name="_Toc236400498"/>
      <w:r w:rsidRPr="00BA4F7F">
        <w:t>2. Wynik główny w latach 2020–2025</w:t>
      </w:r>
      <w:bookmarkEnd w:id="2"/>
      <w:bookmarkEnd w:id="3"/>
    </w:p>
    <w:p w14:paraId="19159930" w14:textId="77777777" w:rsidR="00843C23" w:rsidRPr="00BA4F7F" w:rsidRDefault="00000000">
      <w:pPr>
        <w:pStyle w:val="Lead"/>
        <w:keepNext/>
        <w:rPr>
          <w:lang w:val="pl-PL"/>
        </w:rPr>
      </w:pPr>
      <w:r w:rsidRPr="00BA4F7F">
        <w:rPr>
          <w:lang w:val="pl-PL"/>
        </w:rPr>
        <w:t>W latach 2020–2022 wynik pozostawał względnie stabilny; od 2023 r. rozpoczęło się osłabienie, a w 2024 r. nastąpiło przejście do niższej równowagi, której 2025 r. nie przełamał.</w:t>
      </w:r>
    </w:p>
    <w:tbl>
      <w:tblPr>
        <w:tblStyle w:val="Tabela-Siatka"/>
        <w:tblW w:w="0" w:type="auto"/>
        <w:jc w:val="center"/>
        <w:tblLayout w:type="fixed"/>
        <w:tblLook w:val="04A0" w:firstRow="1" w:lastRow="0" w:firstColumn="1" w:lastColumn="0" w:noHBand="0" w:noVBand="1"/>
      </w:tblPr>
      <w:tblGrid>
        <w:gridCol w:w="1008"/>
        <w:gridCol w:w="1584"/>
        <w:gridCol w:w="1584"/>
        <w:gridCol w:w="1584"/>
        <w:gridCol w:w="1584"/>
      </w:tblGrid>
      <w:tr w:rsidR="00843C23" w:rsidRPr="00BA4F7F" w14:paraId="1D3378B0" w14:textId="77777777">
        <w:trPr>
          <w:cantSplit/>
          <w:tblHeader/>
          <w:jc w:val="center"/>
        </w:trPr>
        <w:tc>
          <w:tcPr>
            <w:tcW w:w="1008" w:type="dxa"/>
            <w:shd w:val="clear" w:color="auto" w:fill="1F4E79"/>
            <w:tcMar>
              <w:top w:w="70" w:type="dxa"/>
              <w:left w:w="80" w:type="dxa"/>
              <w:bottom w:w="70" w:type="dxa"/>
              <w:right w:w="80" w:type="dxa"/>
            </w:tcMar>
            <w:vAlign w:val="center"/>
          </w:tcPr>
          <w:p w14:paraId="6CA28E97" w14:textId="77777777" w:rsidR="00843C23" w:rsidRPr="00BA4F7F" w:rsidRDefault="00000000">
            <w:pPr>
              <w:jc w:val="center"/>
            </w:pPr>
            <w:r w:rsidRPr="00BA4F7F">
              <w:rPr>
                <w:b/>
                <w:color w:val="FFFFFF"/>
                <w:sz w:val="17"/>
              </w:rPr>
              <w:t>Rok</w:t>
            </w:r>
          </w:p>
        </w:tc>
        <w:tc>
          <w:tcPr>
            <w:tcW w:w="1584" w:type="dxa"/>
            <w:shd w:val="clear" w:color="auto" w:fill="1F4E79"/>
            <w:tcMar>
              <w:top w:w="70" w:type="dxa"/>
              <w:left w:w="80" w:type="dxa"/>
              <w:bottom w:w="70" w:type="dxa"/>
              <w:right w:w="80" w:type="dxa"/>
            </w:tcMar>
            <w:vAlign w:val="center"/>
          </w:tcPr>
          <w:p w14:paraId="334533FD" w14:textId="77777777" w:rsidR="00843C23" w:rsidRPr="00BA4F7F" w:rsidRDefault="00000000">
            <w:pPr>
              <w:jc w:val="center"/>
            </w:pPr>
            <w:r w:rsidRPr="00BA4F7F">
              <w:rPr>
                <w:b/>
                <w:color w:val="FFFFFF"/>
                <w:sz w:val="17"/>
              </w:rPr>
              <w:t>Filar I</w:t>
            </w:r>
          </w:p>
        </w:tc>
        <w:tc>
          <w:tcPr>
            <w:tcW w:w="1584" w:type="dxa"/>
            <w:shd w:val="clear" w:color="auto" w:fill="1F4E79"/>
            <w:tcMar>
              <w:top w:w="70" w:type="dxa"/>
              <w:left w:w="80" w:type="dxa"/>
              <w:bottom w:w="70" w:type="dxa"/>
              <w:right w:w="80" w:type="dxa"/>
            </w:tcMar>
            <w:vAlign w:val="center"/>
          </w:tcPr>
          <w:p w14:paraId="00E83194" w14:textId="77777777" w:rsidR="00843C23" w:rsidRPr="00BA4F7F" w:rsidRDefault="00000000">
            <w:pPr>
              <w:jc w:val="center"/>
            </w:pPr>
            <w:r w:rsidRPr="00BA4F7F">
              <w:rPr>
                <w:b/>
                <w:color w:val="FFFFFF"/>
                <w:sz w:val="17"/>
              </w:rPr>
              <w:t>Filar II</w:t>
            </w:r>
          </w:p>
        </w:tc>
        <w:tc>
          <w:tcPr>
            <w:tcW w:w="1584" w:type="dxa"/>
            <w:shd w:val="clear" w:color="auto" w:fill="1F4E79"/>
            <w:tcMar>
              <w:top w:w="70" w:type="dxa"/>
              <w:left w:w="80" w:type="dxa"/>
              <w:bottom w:w="70" w:type="dxa"/>
              <w:right w:w="80" w:type="dxa"/>
            </w:tcMar>
            <w:vAlign w:val="center"/>
          </w:tcPr>
          <w:p w14:paraId="66C2A4E0" w14:textId="77777777" w:rsidR="00843C23" w:rsidRPr="00BA4F7F" w:rsidRDefault="00000000">
            <w:pPr>
              <w:jc w:val="center"/>
            </w:pPr>
            <w:r w:rsidRPr="00BA4F7F">
              <w:rPr>
                <w:b/>
                <w:color w:val="FFFFFF"/>
                <w:sz w:val="17"/>
              </w:rPr>
              <w:t>IRS</w:t>
            </w:r>
          </w:p>
        </w:tc>
        <w:tc>
          <w:tcPr>
            <w:tcW w:w="1584" w:type="dxa"/>
            <w:shd w:val="clear" w:color="auto" w:fill="1F4E79"/>
            <w:tcMar>
              <w:top w:w="70" w:type="dxa"/>
              <w:left w:w="80" w:type="dxa"/>
              <w:bottom w:w="70" w:type="dxa"/>
              <w:right w:w="80" w:type="dxa"/>
            </w:tcMar>
            <w:vAlign w:val="center"/>
          </w:tcPr>
          <w:p w14:paraId="543C025C" w14:textId="77777777" w:rsidR="00843C23" w:rsidRPr="00BA4F7F" w:rsidRDefault="00000000">
            <w:pPr>
              <w:jc w:val="center"/>
            </w:pPr>
            <w:r w:rsidRPr="00BA4F7F">
              <w:rPr>
                <w:b/>
                <w:color w:val="FFFFFF"/>
                <w:sz w:val="17"/>
              </w:rPr>
              <w:t>Zmiana r/r</w:t>
            </w:r>
          </w:p>
        </w:tc>
      </w:tr>
      <w:tr w:rsidR="00843C23" w:rsidRPr="00BA4F7F" w14:paraId="11174C53" w14:textId="77777777">
        <w:trPr>
          <w:cantSplit/>
          <w:jc w:val="center"/>
        </w:trPr>
        <w:tc>
          <w:tcPr>
            <w:tcW w:w="1008" w:type="dxa"/>
            <w:tcMar>
              <w:top w:w="60" w:type="dxa"/>
              <w:left w:w="70" w:type="dxa"/>
              <w:bottom w:w="60" w:type="dxa"/>
              <w:right w:w="70" w:type="dxa"/>
            </w:tcMar>
            <w:vAlign w:val="center"/>
          </w:tcPr>
          <w:p w14:paraId="5AA9B5AD" w14:textId="77777777" w:rsidR="00843C23" w:rsidRPr="00BA4F7F" w:rsidRDefault="00000000">
            <w:pPr>
              <w:jc w:val="left"/>
            </w:pPr>
            <w:r w:rsidRPr="00BA4F7F">
              <w:rPr>
                <w:b/>
                <w:sz w:val="17"/>
              </w:rPr>
              <w:t>2020</w:t>
            </w:r>
          </w:p>
        </w:tc>
        <w:tc>
          <w:tcPr>
            <w:tcW w:w="1584" w:type="dxa"/>
            <w:tcMar>
              <w:top w:w="60" w:type="dxa"/>
              <w:left w:w="70" w:type="dxa"/>
              <w:bottom w:w="60" w:type="dxa"/>
              <w:right w:w="70" w:type="dxa"/>
            </w:tcMar>
            <w:vAlign w:val="center"/>
          </w:tcPr>
          <w:p w14:paraId="3BABA176" w14:textId="77777777" w:rsidR="00843C23" w:rsidRPr="00BA4F7F" w:rsidRDefault="00000000">
            <w:pPr>
              <w:jc w:val="center"/>
            </w:pPr>
            <w:r w:rsidRPr="00BA4F7F">
              <w:rPr>
                <w:sz w:val="17"/>
              </w:rPr>
              <w:t>59,7</w:t>
            </w:r>
          </w:p>
        </w:tc>
        <w:tc>
          <w:tcPr>
            <w:tcW w:w="1584" w:type="dxa"/>
            <w:tcMar>
              <w:top w:w="60" w:type="dxa"/>
              <w:left w:w="70" w:type="dxa"/>
              <w:bottom w:w="60" w:type="dxa"/>
              <w:right w:w="70" w:type="dxa"/>
            </w:tcMar>
            <w:vAlign w:val="center"/>
          </w:tcPr>
          <w:p w14:paraId="425E101F" w14:textId="77777777" w:rsidR="00843C23" w:rsidRPr="00BA4F7F" w:rsidRDefault="00000000">
            <w:pPr>
              <w:jc w:val="center"/>
            </w:pPr>
            <w:r>
              <w:rPr>
                <w:sz w:val="17"/>
              </w:rPr>
              <w:t>62,1</w:t>
            </w:r>
          </w:p>
        </w:tc>
        <w:tc>
          <w:tcPr>
            <w:tcW w:w="1584" w:type="dxa"/>
            <w:tcMar>
              <w:top w:w="60" w:type="dxa"/>
              <w:left w:w="70" w:type="dxa"/>
              <w:bottom w:w="60" w:type="dxa"/>
              <w:right w:w="70" w:type="dxa"/>
            </w:tcMar>
            <w:vAlign w:val="center"/>
          </w:tcPr>
          <w:p w14:paraId="2D9D5073" w14:textId="77777777" w:rsidR="00843C23" w:rsidRPr="00BA4F7F" w:rsidRDefault="00000000">
            <w:pPr>
              <w:jc w:val="center"/>
            </w:pPr>
            <w:r>
              <w:rPr>
                <w:sz w:val="17"/>
              </w:rPr>
              <w:t>60,7</w:t>
            </w:r>
          </w:p>
        </w:tc>
        <w:tc>
          <w:tcPr>
            <w:tcW w:w="1584" w:type="dxa"/>
            <w:tcMar>
              <w:top w:w="60" w:type="dxa"/>
              <w:left w:w="70" w:type="dxa"/>
              <w:bottom w:w="60" w:type="dxa"/>
              <w:right w:w="70" w:type="dxa"/>
            </w:tcMar>
            <w:vAlign w:val="center"/>
          </w:tcPr>
          <w:p w14:paraId="072427CB" w14:textId="77777777" w:rsidR="00843C23" w:rsidRPr="00BA4F7F" w:rsidRDefault="00843C23">
            <w:pPr>
              <w:jc w:val="center"/>
            </w:pPr>
          </w:p>
        </w:tc>
      </w:tr>
      <w:tr w:rsidR="00843C23" w:rsidRPr="00BA4F7F" w14:paraId="3770CB5C" w14:textId="77777777">
        <w:trPr>
          <w:cantSplit/>
          <w:jc w:val="center"/>
        </w:trPr>
        <w:tc>
          <w:tcPr>
            <w:tcW w:w="1008" w:type="dxa"/>
            <w:shd w:val="clear" w:color="auto" w:fill="F7F7F7"/>
            <w:tcMar>
              <w:top w:w="60" w:type="dxa"/>
              <w:left w:w="70" w:type="dxa"/>
              <w:bottom w:w="60" w:type="dxa"/>
              <w:right w:w="70" w:type="dxa"/>
            </w:tcMar>
            <w:vAlign w:val="center"/>
          </w:tcPr>
          <w:p w14:paraId="45D7BAC2" w14:textId="77777777" w:rsidR="00843C23" w:rsidRPr="00BA4F7F" w:rsidRDefault="00000000" w:rsidP="00E36AB6">
            <w:pPr>
              <w:jc w:val="left"/>
              <w:rPr>
                <w:b/>
                <w:bCs/>
              </w:rPr>
            </w:pPr>
            <w:r w:rsidRPr="00BA4F7F">
              <w:rPr>
                <w:rFonts w:ascii="Aptos" w:hAnsi="Aptos"/>
                <w:b/>
                <w:bCs/>
                <w:color w:val="1E2B33"/>
                <w:sz w:val="17"/>
              </w:rPr>
              <w:t>2021</w:t>
            </w:r>
          </w:p>
        </w:tc>
        <w:tc>
          <w:tcPr>
            <w:tcW w:w="1584" w:type="dxa"/>
            <w:shd w:val="clear" w:color="auto" w:fill="F7F7F7"/>
            <w:tcMar>
              <w:top w:w="60" w:type="dxa"/>
              <w:left w:w="70" w:type="dxa"/>
              <w:bottom w:w="60" w:type="dxa"/>
              <w:right w:w="70" w:type="dxa"/>
            </w:tcMar>
            <w:vAlign w:val="center"/>
          </w:tcPr>
          <w:p w14:paraId="00247D92" w14:textId="77777777" w:rsidR="00843C23" w:rsidRPr="00BA4F7F" w:rsidRDefault="00000000">
            <w:pPr>
              <w:jc w:val="center"/>
            </w:pPr>
            <w:r w:rsidRPr="00BA4F7F">
              <w:rPr>
                <w:rFonts w:ascii="Aptos" w:hAnsi="Aptos"/>
                <w:color w:val="1E2B33"/>
                <w:sz w:val="17"/>
              </w:rPr>
              <w:t>62,5</w:t>
            </w:r>
          </w:p>
        </w:tc>
        <w:tc>
          <w:tcPr>
            <w:tcW w:w="1584" w:type="dxa"/>
            <w:shd w:val="clear" w:color="auto" w:fill="F7F7F7"/>
            <w:tcMar>
              <w:top w:w="60" w:type="dxa"/>
              <w:left w:w="70" w:type="dxa"/>
              <w:bottom w:w="60" w:type="dxa"/>
              <w:right w:w="70" w:type="dxa"/>
            </w:tcMar>
            <w:vAlign w:val="center"/>
          </w:tcPr>
          <w:p w14:paraId="12F1FC65" w14:textId="77777777" w:rsidR="00843C23" w:rsidRPr="00BA4F7F" w:rsidRDefault="00000000">
            <w:pPr>
              <w:jc w:val="center"/>
            </w:pPr>
            <w:r>
              <w:rPr>
                <w:rFonts w:ascii="Aptos" w:hAnsi="Aptos"/>
                <w:color w:val="1E2B33"/>
                <w:sz w:val="17"/>
              </w:rPr>
              <w:t>58,6</w:t>
            </w:r>
          </w:p>
        </w:tc>
        <w:tc>
          <w:tcPr>
            <w:tcW w:w="1584" w:type="dxa"/>
            <w:shd w:val="clear" w:color="auto" w:fill="F7F7F7"/>
            <w:tcMar>
              <w:top w:w="60" w:type="dxa"/>
              <w:left w:w="70" w:type="dxa"/>
              <w:bottom w:w="60" w:type="dxa"/>
              <w:right w:w="70" w:type="dxa"/>
            </w:tcMar>
            <w:vAlign w:val="center"/>
          </w:tcPr>
          <w:p w14:paraId="686C6490" w14:textId="77777777" w:rsidR="00843C23" w:rsidRPr="00BA4F7F" w:rsidRDefault="00000000">
            <w:pPr>
              <w:jc w:val="center"/>
            </w:pPr>
            <w:r>
              <w:rPr>
                <w:rFonts w:ascii="Aptos" w:hAnsi="Aptos"/>
                <w:color w:val="1E2B33"/>
                <w:sz w:val="17"/>
              </w:rPr>
              <w:t>60,9</w:t>
            </w:r>
          </w:p>
        </w:tc>
        <w:tc>
          <w:tcPr>
            <w:tcW w:w="1584" w:type="dxa"/>
            <w:shd w:val="clear" w:color="auto" w:fill="F7F7F7"/>
            <w:tcMar>
              <w:top w:w="60" w:type="dxa"/>
              <w:left w:w="70" w:type="dxa"/>
              <w:bottom w:w="60" w:type="dxa"/>
              <w:right w:w="70" w:type="dxa"/>
            </w:tcMar>
            <w:vAlign w:val="center"/>
          </w:tcPr>
          <w:p w14:paraId="215AE786" w14:textId="77777777" w:rsidR="00843C23" w:rsidRPr="00BA4F7F" w:rsidRDefault="00000000" w:rsidP="00FF0DAE">
            <w:pPr>
              <w:jc w:val="center"/>
            </w:pPr>
            <w:r w:rsidRPr="00BA4F7F">
              <w:rPr>
                <w:rFonts w:ascii="Aptos" w:hAnsi="Aptos"/>
                <w:color w:val="1E2B33"/>
                <w:sz w:val="17"/>
              </w:rPr>
              <w:t>+0,3</w:t>
            </w:r>
          </w:p>
        </w:tc>
      </w:tr>
      <w:tr w:rsidR="00843C23" w:rsidRPr="00BA4F7F" w14:paraId="665B790A" w14:textId="77777777">
        <w:trPr>
          <w:cantSplit/>
          <w:jc w:val="center"/>
        </w:trPr>
        <w:tc>
          <w:tcPr>
            <w:tcW w:w="1008" w:type="dxa"/>
            <w:tcMar>
              <w:top w:w="60" w:type="dxa"/>
              <w:left w:w="70" w:type="dxa"/>
              <w:bottom w:w="60" w:type="dxa"/>
              <w:right w:w="70" w:type="dxa"/>
            </w:tcMar>
            <w:vAlign w:val="center"/>
          </w:tcPr>
          <w:p w14:paraId="7D364D6D" w14:textId="77777777" w:rsidR="00843C23" w:rsidRPr="00BA4F7F" w:rsidRDefault="00000000">
            <w:pPr>
              <w:jc w:val="left"/>
            </w:pPr>
            <w:r w:rsidRPr="00BA4F7F">
              <w:rPr>
                <w:b/>
                <w:sz w:val="17"/>
              </w:rPr>
              <w:t>2022</w:t>
            </w:r>
          </w:p>
        </w:tc>
        <w:tc>
          <w:tcPr>
            <w:tcW w:w="1584" w:type="dxa"/>
            <w:tcMar>
              <w:top w:w="60" w:type="dxa"/>
              <w:left w:w="70" w:type="dxa"/>
              <w:bottom w:w="60" w:type="dxa"/>
              <w:right w:w="70" w:type="dxa"/>
            </w:tcMar>
            <w:vAlign w:val="center"/>
          </w:tcPr>
          <w:p w14:paraId="274559F7" w14:textId="77777777" w:rsidR="00843C23" w:rsidRPr="00BA4F7F" w:rsidRDefault="00000000">
            <w:pPr>
              <w:jc w:val="center"/>
            </w:pPr>
            <w:r w:rsidRPr="00BA4F7F">
              <w:rPr>
                <w:sz w:val="17"/>
              </w:rPr>
              <w:t>60,0</w:t>
            </w:r>
          </w:p>
        </w:tc>
        <w:tc>
          <w:tcPr>
            <w:tcW w:w="1584" w:type="dxa"/>
            <w:tcMar>
              <w:top w:w="60" w:type="dxa"/>
              <w:left w:w="70" w:type="dxa"/>
              <w:bottom w:w="60" w:type="dxa"/>
              <w:right w:w="70" w:type="dxa"/>
            </w:tcMar>
            <w:vAlign w:val="center"/>
          </w:tcPr>
          <w:p w14:paraId="2A992CE0" w14:textId="77777777" w:rsidR="00843C23" w:rsidRPr="00BA4F7F" w:rsidRDefault="00000000">
            <w:pPr>
              <w:jc w:val="center"/>
            </w:pPr>
            <w:r>
              <w:rPr>
                <w:sz w:val="17"/>
              </w:rPr>
              <w:t>63,2</w:t>
            </w:r>
          </w:p>
        </w:tc>
        <w:tc>
          <w:tcPr>
            <w:tcW w:w="1584" w:type="dxa"/>
            <w:tcMar>
              <w:top w:w="60" w:type="dxa"/>
              <w:left w:w="70" w:type="dxa"/>
              <w:bottom w:w="60" w:type="dxa"/>
              <w:right w:w="70" w:type="dxa"/>
            </w:tcMar>
            <w:vAlign w:val="center"/>
          </w:tcPr>
          <w:p w14:paraId="515B668A" w14:textId="77777777" w:rsidR="00843C23" w:rsidRPr="00BA4F7F" w:rsidRDefault="00000000">
            <w:pPr>
              <w:jc w:val="center"/>
            </w:pPr>
            <w:r>
              <w:rPr>
                <w:sz w:val="17"/>
              </w:rPr>
              <w:t>61,3</w:t>
            </w:r>
          </w:p>
        </w:tc>
        <w:tc>
          <w:tcPr>
            <w:tcW w:w="1584" w:type="dxa"/>
            <w:tcMar>
              <w:top w:w="60" w:type="dxa"/>
              <w:left w:w="70" w:type="dxa"/>
              <w:bottom w:w="60" w:type="dxa"/>
              <w:right w:w="70" w:type="dxa"/>
            </w:tcMar>
            <w:vAlign w:val="center"/>
          </w:tcPr>
          <w:p w14:paraId="3A799BD1" w14:textId="77777777" w:rsidR="00843C23" w:rsidRPr="00BA4F7F" w:rsidRDefault="00000000" w:rsidP="00FF0DAE">
            <w:pPr>
              <w:jc w:val="center"/>
            </w:pPr>
            <w:r w:rsidRPr="00BA4F7F">
              <w:rPr>
                <w:sz w:val="17"/>
              </w:rPr>
              <w:t>+0,3</w:t>
            </w:r>
          </w:p>
        </w:tc>
      </w:tr>
      <w:tr w:rsidR="00843C23" w:rsidRPr="00BA4F7F" w14:paraId="677801D5" w14:textId="77777777">
        <w:trPr>
          <w:cantSplit/>
          <w:jc w:val="center"/>
        </w:trPr>
        <w:tc>
          <w:tcPr>
            <w:tcW w:w="1008" w:type="dxa"/>
            <w:shd w:val="clear" w:color="auto" w:fill="F7F7F7"/>
            <w:tcMar>
              <w:top w:w="60" w:type="dxa"/>
              <w:left w:w="70" w:type="dxa"/>
              <w:bottom w:w="60" w:type="dxa"/>
              <w:right w:w="70" w:type="dxa"/>
            </w:tcMar>
            <w:vAlign w:val="center"/>
          </w:tcPr>
          <w:p w14:paraId="5E3F65D9" w14:textId="77777777" w:rsidR="00843C23" w:rsidRPr="00BA4F7F" w:rsidRDefault="00000000">
            <w:pPr>
              <w:jc w:val="left"/>
            </w:pPr>
            <w:r w:rsidRPr="00BA4F7F">
              <w:rPr>
                <w:b/>
                <w:sz w:val="17"/>
              </w:rPr>
              <w:t>2023</w:t>
            </w:r>
          </w:p>
        </w:tc>
        <w:tc>
          <w:tcPr>
            <w:tcW w:w="1584" w:type="dxa"/>
            <w:shd w:val="clear" w:color="auto" w:fill="F7F7F7"/>
            <w:tcMar>
              <w:top w:w="60" w:type="dxa"/>
              <w:left w:w="70" w:type="dxa"/>
              <w:bottom w:w="60" w:type="dxa"/>
              <w:right w:w="70" w:type="dxa"/>
            </w:tcMar>
            <w:vAlign w:val="center"/>
          </w:tcPr>
          <w:p w14:paraId="41332148" w14:textId="77777777" w:rsidR="00843C23" w:rsidRPr="00BA4F7F" w:rsidRDefault="00000000">
            <w:pPr>
              <w:jc w:val="center"/>
            </w:pPr>
            <w:r w:rsidRPr="00BA4F7F">
              <w:rPr>
                <w:sz w:val="17"/>
              </w:rPr>
              <w:t>60,8</w:t>
            </w:r>
          </w:p>
        </w:tc>
        <w:tc>
          <w:tcPr>
            <w:tcW w:w="1584" w:type="dxa"/>
            <w:shd w:val="clear" w:color="auto" w:fill="F7F7F7"/>
            <w:tcMar>
              <w:top w:w="60" w:type="dxa"/>
              <w:left w:w="70" w:type="dxa"/>
              <w:bottom w:w="60" w:type="dxa"/>
              <w:right w:w="70" w:type="dxa"/>
            </w:tcMar>
            <w:vAlign w:val="center"/>
          </w:tcPr>
          <w:p w14:paraId="61908CC3" w14:textId="77777777" w:rsidR="00843C23" w:rsidRPr="00BA4F7F" w:rsidRDefault="00000000">
            <w:pPr>
              <w:jc w:val="center"/>
            </w:pPr>
            <w:r>
              <w:rPr>
                <w:sz w:val="17"/>
              </w:rPr>
              <w:t>59,7</w:t>
            </w:r>
          </w:p>
        </w:tc>
        <w:tc>
          <w:tcPr>
            <w:tcW w:w="1584" w:type="dxa"/>
            <w:shd w:val="clear" w:color="auto" w:fill="F7F7F7"/>
            <w:tcMar>
              <w:top w:w="60" w:type="dxa"/>
              <w:left w:w="70" w:type="dxa"/>
              <w:bottom w:w="60" w:type="dxa"/>
              <w:right w:w="70" w:type="dxa"/>
            </w:tcMar>
            <w:vAlign w:val="center"/>
          </w:tcPr>
          <w:p w14:paraId="01750B3B" w14:textId="77777777" w:rsidR="00843C23" w:rsidRPr="00BA4F7F" w:rsidRDefault="00000000">
            <w:pPr>
              <w:jc w:val="center"/>
            </w:pPr>
            <w:r>
              <w:rPr>
                <w:sz w:val="17"/>
              </w:rPr>
              <w:t>60,3</w:t>
            </w:r>
          </w:p>
        </w:tc>
        <w:tc>
          <w:tcPr>
            <w:tcW w:w="1584" w:type="dxa"/>
            <w:shd w:val="clear" w:color="auto" w:fill="F7F7F7"/>
            <w:tcMar>
              <w:top w:w="60" w:type="dxa"/>
              <w:left w:w="70" w:type="dxa"/>
              <w:bottom w:w="60" w:type="dxa"/>
              <w:right w:w="70" w:type="dxa"/>
            </w:tcMar>
            <w:vAlign w:val="center"/>
          </w:tcPr>
          <w:p w14:paraId="023C899D" w14:textId="77777777" w:rsidR="002C59F5" w:rsidRDefault="00000000" w:rsidP="00FF0DAE">
            <w:pPr>
              <w:jc w:val="center"/>
            </w:pPr>
            <w:r>
              <w:t>−0,9</w:t>
            </w:r>
          </w:p>
        </w:tc>
      </w:tr>
      <w:tr w:rsidR="00843C23" w:rsidRPr="00BA4F7F" w14:paraId="08E7F0CE" w14:textId="77777777">
        <w:trPr>
          <w:cantSplit/>
          <w:jc w:val="center"/>
        </w:trPr>
        <w:tc>
          <w:tcPr>
            <w:tcW w:w="1008" w:type="dxa"/>
            <w:tcMar>
              <w:top w:w="60" w:type="dxa"/>
              <w:left w:w="70" w:type="dxa"/>
              <w:bottom w:w="60" w:type="dxa"/>
              <w:right w:w="70" w:type="dxa"/>
            </w:tcMar>
            <w:vAlign w:val="center"/>
          </w:tcPr>
          <w:p w14:paraId="01EB3DC1" w14:textId="77777777" w:rsidR="00843C23" w:rsidRPr="00BA4F7F" w:rsidRDefault="00000000">
            <w:pPr>
              <w:jc w:val="left"/>
            </w:pPr>
            <w:r w:rsidRPr="00BA4F7F">
              <w:rPr>
                <w:b/>
                <w:sz w:val="17"/>
              </w:rPr>
              <w:t>2024</w:t>
            </w:r>
          </w:p>
        </w:tc>
        <w:tc>
          <w:tcPr>
            <w:tcW w:w="1584" w:type="dxa"/>
            <w:tcMar>
              <w:top w:w="60" w:type="dxa"/>
              <w:left w:w="70" w:type="dxa"/>
              <w:bottom w:w="60" w:type="dxa"/>
              <w:right w:w="70" w:type="dxa"/>
            </w:tcMar>
            <w:vAlign w:val="center"/>
          </w:tcPr>
          <w:p w14:paraId="38ACD986" w14:textId="77777777" w:rsidR="00843C23" w:rsidRPr="00BA4F7F" w:rsidRDefault="00000000">
            <w:pPr>
              <w:jc w:val="center"/>
            </w:pPr>
            <w:r w:rsidRPr="00BA4F7F">
              <w:rPr>
                <w:sz w:val="17"/>
              </w:rPr>
              <w:t>55,9</w:t>
            </w:r>
          </w:p>
        </w:tc>
        <w:tc>
          <w:tcPr>
            <w:tcW w:w="1584" w:type="dxa"/>
            <w:tcMar>
              <w:top w:w="60" w:type="dxa"/>
              <w:left w:w="70" w:type="dxa"/>
              <w:bottom w:w="60" w:type="dxa"/>
              <w:right w:w="70" w:type="dxa"/>
            </w:tcMar>
            <w:vAlign w:val="center"/>
          </w:tcPr>
          <w:p w14:paraId="5A21BD4D" w14:textId="77777777" w:rsidR="00843C23" w:rsidRPr="00BA4F7F" w:rsidRDefault="00000000">
            <w:pPr>
              <w:jc w:val="center"/>
            </w:pPr>
            <w:r>
              <w:rPr>
                <w:sz w:val="17"/>
              </w:rPr>
              <w:t>53,7</w:t>
            </w:r>
          </w:p>
        </w:tc>
        <w:tc>
          <w:tcPr>
            <w:tcW w:w="1584" w:type="dxa"/>
            <w:tcMar>
              <w:top w:w="60" w:type="dxa"/>
              <w:left w:w="70" w:type="dxa"/>
              <w:bottom w:w="60" w:type="dxa"/>
              <w:right w:w="70" w:type="dxa"/>
            </w:tcMar>
            <w:vAlign w:val="center"/>
          </w:tcPr>
          <w:p w14:paraId="5B6818B9" w14:textId="77777777" w:rsidR="00843C23" w:rsidRPr="00BA4F7F" w:rsidRDefault="00000000">
            <w:pPr>
              <w:jc w:val="center"/>
            </w:pPr>
            <w:r>
              <w:rPr>
                <w:sz w:val="17"/>
              </w:rPr>
              <w:t>55,0</w:t>
            </w:r>
          </w:p>
        </w:tc>
        <w:tc>
          <w:tcPr>
            <w:tcW w:w="1584" w:type="dxa"/>
            <w:tcMar>
              <w:top w:w="60" w:type="dxa"/>
              <w:left w:w="70" w:type="dxa"/>
              <w:bottom w:w="60" w:type="dxa"/>
              <w:right w:w="70" w:type="dxa"/>
            </w:tcMar>
            <w:vAlign w:val="center"/>
          </w:tcPr>
          <w:p w14:paraId="438964AC" w14:textId="77777777" w:rsidR="002C59F5" w:rsidRDefault="00000000" w:rsidP="00FF0DAE">
            <w:pPr>
              <w:jc w:val="center"/>
            </w:pPr>
            <w:r>
              <w:t>−5,3</w:t>
            </w:r>
          </w:p>
        </w:tc>
      </w:tr>
      <w:tr w:rsidR="00843C23" w:rsidRPr="00BA4F7F" w14:paraId="7B4D0D2A" w14:textId="77777777">
        <w:trPr>
          <w:cantSplit/>
          <w:jc w:val="center"/>
        </w:trPr>
        <w:tc>
          <w:tcPr>
            <w:tcW w:w="1008" w:type="dxa"/>
            <w:shd w:val="clear" w:color="auto" w:fill="F7F7F7"/>
            <w:tcMar>
              <w:top w:w="60" w:type="dxa"/>
              <w:left w:w="70" w:type="dxa"/>
              <w:bottom w:w="60" w:type="dxa"/>
              <w:right w:w="70" w:type="dxa"/>
            </w:tcMar>
            <w:vAlign w:val="center"/>
          </w:tcPr>
          <w:p w14:paraId="450DCBE7" w14:textId="77777777" w:rsidR="00843C23" w:rsidRPr="00BA4F7F" w:rsidRDefault="00000000">
            <w:pPr>
              <w:jc w:val="left"/>
            </w:pPr>
            <w:r w:rsidRPr="00BA4F7F">
              <w:rPr>
                <w:b/>
                <w:sz w:val="17"/>
              </w:rPr>
              <w:t>2025</w:t>
            </w:r>
          </w:p>
        </w:tc>
        <w:tc>
          <w:tcPr>
            <w:tcW w:w="1584" w:type="dxa"/>
            <w:shd w:val="clear" w:color="auto" w:fill="F7F7F7"/>
            <w:tcMar>
              <w:top w:w="60" w:type="dxa"/>
              <w:left w:w="70" w:type="dxa"/>
              <w:bottom w:w="60" w:type="dxa"/>
              <w:right w:w="70" w:type="dxa"/>
            </w:tcMar>
            <w:vAlign w:val="center"/>
          </w:tcPr>
          <w:p w14:paraId="3D54382E" w14:textId="77777777" w:rsidR="00843C23" w:rsidRPr="00BA4F7F" w:rsidRDefault="00000000">
            <w:pPr>
              <w:jc w:val="center"/>
            </w:pPr>
            <w:r w:rsidRPr="00BA4F7F">
              <w:rPr>
                <w:sz w:val="17"/>
              </w:rPr>
              <w:t>55,5</w:t>
            </w:r>
          </w:p>
        </w:tc>
        <w:tc>
          <w:tcPr>
            <w:tcW w:w="1584" w:type="dxa"/>
            <w:shd w:val="clear" w:color="auto" w:fill="F7F7F7"/>
            <w:tcMar>
              <w:top w:w="60" w:type="dxa"/>
              <w:left w:w="70" w:type="dxa"/>
              <w:bottom w:w="60" w:type="dxa"/>
              <w:right w:w="70" w:type="dxa"/>
            </w:tcMar>
            <w:vAlign w:val="center"/>
          </w:tcPr>
          <w:p w14:paraId="62FC1FB0" w14:textId="77777777" w:rsidR="00843C23" w:rsidRPr="00BA4F7F" w:rsidRDefault="00000000">
            <w:pPr>
              <w:jc w:val="center"/>
            </w:pPr>
            <w:r>
              <w:rPr>
                <w:sz w:val="17"/>
              </w:rPr>
              <w:t>54,3</w:t>
            </w:r>
          </w:p>
        </w:tc>
        <w:tc>
          <w:tcPr>
            <w:tcW w:w="1584" w:type="dxa"/>
            <w:shd w:val="clear" w:color="auto" w:fill="F7F7F7"/>
            <w:tcMar>
              <w:top w:w="60" w:type="dxa"/>
              <w:left w:w="70" w:type="dxa"/>
              <w:bottom w:w="60" w:type="dxa"/>
              <w:right w:w="70" w:type="dxa"/>
            </w:tcMar>
            <w:vAlign w:val="center"/>
          </w:tcPr>
          <w:p w14:paraId="7D58A11D" w14:textId="77777777" w:rsidR="00843C23" w:rsidRPr="00BA4F7F" w:rsidRDefault="00000000">
            <w:pPr>
              <w:jc w:val="center"/>
            </w:pPr>
            <w:r>
              <w:rPr>
                <w:sz w:val="17"/>
              </w:rPr>
              <w:t>55,0</w:t>
            </w:r>
          </w:p>
        </w:tc>
        <w:tc>
          <w:tcPr>
            <w:tcW w:w="1584" w:type="dxa"/>
            <w:shd w:val="clear" w:color="auto" w:fill="F7F7F7"/>
            <w:tcMar>
              <w:top w:w="60" w:type="dxa"/>
              <w:left w:w="70" w:type="dxa"/>
              <w:bottom w:w="60" w:type="dxa"/>
              <w:right w:w="70" w:type="dxa"/>
            </w:tcMar>
            <w:vAlign w:val="center"/>
          </w:tcPr>
          <w:p w14:paraId="4C29D13E" w14:textId="77777777" w:rsidR="002C59F5" w:rsidRDefault="00000000" w:rsidP="00FF0DAE">
            <w:pPr>
              <w:jc w:val="center"/>
            </w:pPr>
            <w:r>
              <w:t>0,0</w:t>
            </w:r>
          </w:p>
        </w:tc>
      </w:tr>
    </w:tbl>
    <w:p w14:paraId="55FEF5B3" w14:textId="77777777" w:rsidR="00843C23" w:rsidRPr="00BA4F7F" w:rsidRDefault="00843C23">
      <w:pPr>
        <w:spacing w:after="20" w:line="259" w:lineRule="auto"/>
      </w:pPr>
    </w:p>
    <w:p w14:paraId="3124AE2B" w14:textId="77777777" w:rsidR="00843C23" w:rsidRPr="00BA4F7F" w:rsidRDefault="00000000">
      <w:pPr>
        <w:spacing w:line="259" w:lineRule="auto"/>
      </w:pPr>
      <w:r w:rsidRPr="00BA4F7F">
        <w:t xml:space="preserve">Interpretacja trendu wymaga rozróżnienia czterech faz. Rok 2020 był testem nagłego szoku pandemicznego i zdolności interwencji publicznej. Lata 2021–2022 przyniosły odbudowę gospodarczą, presję hybrydową na granicy, a następnie </w:t>
      </w:r>
      <w:proofErr w:type="spellStart"/>
      <w:r w:rsidRPr="00BA4F7F">
        <w:t>pełnoskalową</w:t>
      </w:r>
      <w:proofErr w:type="spellEnd"/>
      <w:r w:rsidRPr="00BA4F7F">
        <w:t xml:space="preserve"> wojnę Rosji przeciw Ukrainie. Rok 2023 był szczytem części zdolności projektowych i bezpieczeństwa. Rok 2024 ujawnił natomiast jednoczesne pogorszenie wielu komponentów: opóźnienia projektowe, słabnącą przestrzeń fiskalną, dalszą degradację demograficzną i eskalację konfliktów instytucjonalnych.</w:t>
      </w:r>
    </w:p>
    <w:p w14:paraId="673A6ECD" w14:textId="77777777" w:rsidR="00843C23" w:rsidRPr="00BA4F7F" w:rsidRDefault="00000000">
      <w:pPr>
        <w:spacing w:line="259" w:lineRule="auto"/>
      </w:pPr>
      <w:r>
        <w:t>Stabilizacja w 2025 r. nie oznacza odbudowy. Po spadku do 55,0 pkt w 2024 r. wynik pozostaje praktycznie bez zmian; na pełnej precyzji obniża się o 0,02 pkt. Część obronności, rynek pracy, warunki materialne oraz odbicie Cyfryzacji względem 2024 r. poprawiają obraz, ale jej wynik nadal pozostaje o 10,0 pkt niższy niż w 2020 r. Jednocześnie dzietność, stan ludności, ciągłość konstytucyjna, regulacje i finanse publiczne nie pozwalają wrócić do wcześniejszej trajektorii. W praktyce oznacza to nie równowagę zdrową, lecz równoważenie słabości przez kosztowną mobilizację w kilku mocniejszych obszarach.</w:t>
      </w:r>
    </w:p>
    <w:p w14:paraId="47B99DBE" w14:textId="77777777" w:rsidR="00843C23" w:rsidRPr="00BA4F7F" w:rsidRDefault="00000000">
      <w:pPr>
        <w:keepNext/>
        <w:keepLines/>
        <w:spacing w:before="80" w:after="60" w:line="259" w:lineRule="auto"/>
        <w:jc w:val="center"/>
      </w:pPr>
      <w:r w:rsidRPr="00BA4F7F">
        <w:rPr>
          <w:noProof/>
        </w:rPr>
        <w:lastRenderedPageBreak/>
        <w:drawing>
          <wp:inline distT="0" distB="0" distL="0" distR="0" wp14:anchorId="3C47AB8D" wp14:editId="248D235B">
            <wp:extent cx="5897880" cy="4246895"/>
            <wp:effectExtent l="0" t="0" r="0" b="0"/>
            <wp:docPr id="6" name="Picture 6" descr="Wykres 4. Trajektorie sześciu subindeksów IRS." title="Wykre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subindeksy_trend.png"/>
                    <pic:cNvPicPr/>
                  </pic:nvPicPr>
                  <pic:blipFill>
                    <a:blip r:embed="rId11"/>
                    <a:stretch>
                      <a:fillRect/>
                    </a:stretch>
                  </pic:blipFill>
                  <pic:spPr>
                    <a:xfrm>
                      <a:off x="0" y="0"/>
                      <a:ext cx="5897880" cy="4246895"/>
                    </a:xfrm>
                    <a:prstGeom prst="rect">
                      <a:avLst/>
                    </a:prstGeom>
                  </pic:spPr>
                </pic:pic>
              </a:graphicData>
            </a:graphic>
          </wp:inline>
        </w:drawing>
      </w:r>
    </w:p>
    <w:p w14:paraId="36E551BF" w14:textId="77777777" w:rsidR="00843C23" w:rsidRPr="00BA4F7F" w:rsidRDefault="00000000">
      <w:pPr>
        <w:pStyle w:val="Legenda"/>
        <w:keepNext/>
        <w:keepLines/>
        <w:jc w:val="center"/>
      </w:pPr>
      <w:r w:rsidRPr="00BA4F7F">
        <w:t xml:space="preserve">Wykres 4. Trajektorie sześciu </w:t>
      </w:r>
      <w:proofErr w:type="spellStart"/>
      <w:r w:rsidRPr="00BA4F7F">
        <w:t>subindeksów</w:t>
      </w:r>
      <w:proofErr w:type="spellEnd"/>
      <w:r w:rsidRPr="00BA4F7F">
        <w:t xml:space="preserve"> IRS.</w:t>
      </w:r>
    </w:p>
    <w:p w14:paraId="167DF06B" w14:textId="77777777" w:rsidR="00F616CD" w:rsidRDefault="00F616CD">
      <w:pPr>
        <w:spacing w:line="259" w:lineRule="auto"/>
      </w:pPr>
    </w:p>
    <w:p w14:paraId="787CFF27" w14:textId="77777777" w:rsidR="00843C23" w:rsidRPr="00BA4F7F" w:rsidRDefault="00000000">
      <w:pPr>
        <w:spacing w:line="259" w:lineRule="auto"/>
      </w:pPr>
      <w:r>
        <w:t xml:space="preserve">Oba filary pozostają relatywnie blisko siebie – 55,5 pkt w Filarze I </w:t>
      </w:r>
      <w:proofErr w:type="spellStart"/>
      <w:r>
        <w:t>i</w:t>
      </w:r>
      <w:proofErr w:type="spellEnd"/>
      <w:r>
        <w:t xml:space="preserve"> 54,3 pkt w Filarze II – ale ta pozorna równowaga jest myląca. Filar I osłabia przede wszystkim Demografia, a Filar II – Ład instytucjonalny i Cyfryzacja, która pozostaje o 10,0 pkt niżej niż w 2020 r. i ujawnia lukę między usługami a odpornością zaplecza. Najwyższe komponenty znajdują się w Bezpieczeństwie, rynku pracy, zdolnościach obronnych, równowadze zewnętrznej i wybranych projektach infrastrukturalnych. Państwo nie jest więc równomiernie słabe ani równomiernie silne.</w:t>
      </w:r>
    </w:p>
    <w:p w14:paraId="6E55638A" w14:textId="77777777" w:rsidR="00843C23" w:rsidRPr="00BA4F7F" w:rsidRDefault="00000000">
      <w:pPr>
        <w:keepNext/>
        <w:keepLines/>
        <w:spacing w:before="80" w:after="60" w:line="259" w:lineRule="auto"/>
        <w:jc w:val="center"/>
      </w:pPr>
      <w:r w:rsidRPr="00BA4F7F">
        <w:rPr>
          <w:noProof/>
        </w:rPr>
        <w:drawing>
          <wp:inline distT="0" distB="0" distL="0" distR="0" wp14:anchorId="55921972" wp14:editId="60E71DE0">
            <wp:extent cx="5897880" cy="3270404"/>
            <wp:effectExtent l="0" t="0" r="0" b="0"/>
            <wp:docPr id="7" name="Picture 7" descr="Wykres 5. Rozpiętość wyników dwudziestu subobszarów a wynik główny IRS." title="Wykre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_rozpietosc.png"/>
                    <pic:cNvPicPr/>
                  </pic:nvPicPr>
                  <pic:blipFill>
                    <a:blip r:embed="rId12"/>
                    <a:stretch>
                      <a:fillRect/>
                    </a:stretch>
                  </pic:blipFill>
                  <pic:spPr>
                    <a:xfrm>
                      <a:off x="0" y="0"/>
                      <a:ext cx="5897880" cy="3270404"/>
                    </a:xfrm>
                    <a:prstGeom prst="rect">
                      <a:avLst/>
                    </a:prstGeom>
                  </pic:spPr>
                </pic:pic>
              </a:graphicData>
            </a:graphic>
          </wp:inline>
        </w:drawing>
      </w:r>
    </w:p>
    <w:p w14:paraId="5CD8A662" w14:textId="77777777" w:rsidR="00843C23" w:rsidRPr="00BA4F7F" w:rsidRDefault="00000000">
      <w:pPr>
        <w:pStyle w:val="Legenda"/>
        <w:keepNext/>
        <w:keepLines/>
        <w:jc w:val="center"/>
      </w:pPr>
      <w:r w:rsidRPr="00BA4F7F">
        <w:t xml:space="preserve">Wykres 5. Rozpiętość wyników dwudziestu </w:t>
      </w:r>
      <w:proofErr w:type="spellStart"/>
      <w:r w:rsidRPr="00BA4F7F">
        <w:t>subobszarów</w:t>
      </w:r>
      <w:proofErr w:type="spellEnd"/>
      <w:r w:rsidRPr="00BA4F7F">
        <w:t xml:space="preserve"> a wynik główny IRS.</w:t>
      </w:r>
    </w:p>
    <w:p w14:paraId="7E73E42D" w14:textId="77777777" w:rsidR="00843C23" w:rsidRPr="00BA4F7F" w:rsidRDefault="00843C23">
      <w:pPr>
        <w:pStyle w:val="SourceNote"/>
        <w:keepLines/>
        <w:jc w:val="center"/>
        <w:rPr>
          <w:lang w:val="pl-PL"/>
        </w:rPr>
      </w:pPr>
    </w:p>
    <w:p w14:paraId="3F0585BD" w14:textId="77777777" w:rsidR="00843C23" w:rsidRPr="00BA4F7F" w:rsidRDefault="00843C23">
      <w:pPr>
        <w:spacing w:after="20" w:line="259" w:lineRule="auto"/>
      </w:pPr>
    </w:p>
    <w:p w14:paraId="51E87302" w14:textId="77777777" w:rsidR="00843C23" w:rsidRPr="00BA4F7F" w:rsidRDefault="00000000">
      <w:pPr>
        <w:spacing w:line="259" w:lineRule="auto"/>
      </w:pPr>
      <w:r w:rsidRPr="00BA4F7F">
        <w:br w:type="page"/>
      </w:r>
    </w:p>
    <w:p w14:paraId="5D90FB47" w14:textId="77777777" w:rsidR="00843C23" w:rsidRPr="00BA4F7F" w:rsidRDefault="00000000">
      <w:pPr>
        <w:pStyle w:val="ChapterKicker"/>
        <w:keepNext/>
        <w:keepLines/>
        <w:rPr>
          <w:lang w:val="pl-PL"/>
        </w:rPr>
      </w:pPr>
      <w:r w:rsidRPr="00BA4F7F">
        <w:rPr>
          <w:lang w:val="pl-PL"/>
        </w:rPr>
        <w:lastRenderedPageBreak/>
        <w:t>METODOLOGIA W SKRÓCIE</w:t>
      </w:r>
    </w:p>
    <w:p w14:paraId="1E04ADAF" w14:textId="77777777" w:rsidR="00843C23" w:rsidRPr="00BA4F7F" w:rsidRDefault="00000000">
      <w:pPr>
        <w:pStyle w:val="Nagwek1"/>
        <w:spacing w:before="0"/>
      </w:pPr>
      <w:bookmarkStart w:id="4" w:name="_Toc236400272"/>
      <w:bookmarkStart w:id="5" w:name="_Toc236400499"/>
      <w:r w:rsidRPr="00BA4F7F">
        <w:t>3. Czym jest Indeks Racji Stanu</w:t>
      </w:r>
      <w:bookmarkEnd w:id="4"/>
      <w:bookmarkEnd w:id="5"/>
    </w:p>
    <w:p w14:paraId="3487D2B7" w14:textId="77777777" w:rsidR="001A7966" w:rsidRPr="00BA4F7F" w:rsidRDefault="001A7966" w:rsidP="001A7966">
      <w:pPr>
        <w:pStyle w:val="IRSLead"/>
        <w:rPr>
          <w:lang w:val="pl-PL"/>
        </w:rPr>
      </w:pPr>
      <w:r w:rsidRPr="00BA4F7F">
        <w:rPr>
          <w:lang w:val="pl-PL"/>
        </w:rPr>
        <w:t>Indeks Racji Stanu jest syntetycznym, hierarchicznym narzędziem analitycznym służącym do uporządkowanej oceny zdolności państwa polskiego do realizacji długofalowych i żywotnych interesów.</w:t>
      </w:r>
    </w:p>
    <w:p w14:paraId="59AB7C8A" w14:textId="77777777" w:rsidR="001A7966" w:rsidRPr="00BA4F7F" w:rsidRDefault="001A7966" w:rsidP="001A7966">
      <w:r w:rsidRPr="00BA4F7F">
        <w:t>IRS nie mierzy jednego zjawiska – takiego jak tempo wzrostu gospodarczego, poziom wydatków publicznych czy bieżąc</w:t>
      </w:r>
      <w:r w:rsidR="00F616CD">
        <w:t>ej</w:t>
      </w:r>
      <w:r w:rsidRPr="00BA4F7F">
        <w:t xml:space="preserve"> sprawnoś</w:t>
      </w:r>
      <w:r w:rsidR="00F616CD">
        <w:t>ci</w:t>
      </w:r>
      <w:r w:rsidRPr="00BA4F7F">
        <w:t xml:space="preserve"> administracji – lecz łączy wiele wymiarów funkcjonowania państwa w jedną strukturę analityczną. Jego podstawową rolą jest identyfikowanie obszarów siły, słabości i ryzyka strategicznego oraz obserwowanie, jak zdolności państwa zmieniają się w czasie.</w:t>
      </w:r>
    </w:p>
    <w:p w14:paraId="22D58D9B" w14:textId="77777777" w:rsidR="001A7966" w:rsidRPr="00BA4F7F" w:rsidRDefault="001A7966" w:rsidP="001A7966">
      <w:r w:rsidRPr="00BA4F7F">
        <w:t>Na potrzeby IRS racja stanu jest rozumiana jako zdolność państwa polskiego do ochrony i wzmacniania warunków niezbędnych dla przetrwania Rzeczypospolitej, zapewnienia jej bezpieczeństwa, trwałego rozwoju oraz zachowania suwerenności i ciągłości wspólnoty politycznej w długim horyzoncie.</w:t>
      </w:r>
    </w:p>
    <w:p w14:paraId="75A6341E" w14:textId="77777777" w:rsidR="001A7966" w:rsidRPr="00BA4F7F" w:rsidRDefault="001A7966" w:rsidP="001A7966">
      <w:r w:rsidRPr="00BA4F7F">
        <w:t>Tak przyjęta definicja przesuwa punkt ciężkości z oceny bieżących decyzji politycznych na ocenę trwałych zasobów i zdolności państwa. IRS nie pyta zatem wyłącznie, czy państwo osiągnęło korzystny rezultat w danym roku, lecz również, czy posiada warunki pozwalające taki rezultat utrzymać, odtworzyć lub ponownie osiągnąć w przyszłości.</w:t>
      </w:r>
    </w:p>
    <w:tbl>
      <w:tblPr>
        <w:tblW w:w="0" w:type="auto"/>
        <w:jc w:val="center"/>
        <w:tblLayout w:type="fixed"/>
        <w:tblLook w:val="04A0" w:firstRow="1" w:lastRow="0" w:firstColumn="1" w:lastColumn="0" w:noHBand="0" w:noVBand="1"/>
      </w:tblPr>
      <w:tblGrid>
        <w:gridCol w:w="9411"/>
      </w:tblGrid>
      <w:tr w:rsidR="001A7966" w:rsidRPr="00BA4F7F" w14:paraId="69D8063A" w14:textId="77777777" w:rsidTr="008E56FA">
        <w:trPr>
          <w:cantSplit/>
          <w:jc w:val="center"/>
        </w:trPr>
        <w:tc>
          <w:tcPr>
            <w:tcW w:w="9411" w:type="dxa"/>
            <w:shd w:val="clear" w:color="auto" w:fill="D9EAF7"/>
            <w:tcMar>
              <w:top w:w="130" w:type="dxa"/>
              <w:left w:w="180" w:type="dxa"/>
              <w:bottom w:w="130" w:type="dxa"/>
              <w:right w:w="180" w:type="dxa"/>
            </w:tcMar>
            <w:vAlign w:val="center"/>
          </w:tcPr>
          <w:p w14:paraId="042A67AD" w14:textId="77777777" w:rsidR="001A7966" w:rsidRPr="00BA4F7F" w:rsidRDefault="001A7966" w:rsidP="008E56FA">
            <w:pPr>
              <w:spacing w:after="0"/>
            </w:pPr>
            <w:r w:rsidRPr="00BA4F7F">
              <w:rPr>
                <w:rFonts w:ascii="Aptos" w:hAnsi="Aptos"/>
                <w:b/>
                <w:color w:val="1F4E79"/>
                <w:sz w:val="21"/>
              </w:rPr>
              <w:t xml:space="preserve">IRS jest mapą strategicznych zdolności państwa. Wynik główny porządkuje obraz całości, lecz jego znaczenie ujawnia się dopiero po analizie filarów, </w:t>
            </w:r>
            <w:proofErr w:type="spellStart"/>
            <w:r w:rsidRPr="00BA4F7F">
              <w:rPr>
                <w:rFonts w:ascii="Aptos" w:hAnsi="Aptos"/>
                <w:b/>
                <w:color w:val="1F4E79"/>
                <w:sz w:val="21"/>
              </w:rPr>
              <w:t>subindeksów</w:t>
            </w:r>
            <w:proofErr w:type="spellEnd"/>
            <w:r w:rsidRPr="00BA4F7F">
              <w:rPr>
                <w:rFonts w:ascii="Aptos" w:hAnsi="Aptos"/>
                <w:b/>
                <w:color w:val="1F4E79"/>
                <w:sz w:val="21"/>
              </w:rPr>
              <w:t xml:space="preserve">, </w:t>
            </w:r>
            <w:proofErr w:type="spellStart"/>
            <w:r w:rsidRPr="00BA4F7F">
              <w:rPr>
                <w:rFonts w:ascii="Aptos" w:hAnsi="Aptos"/>
                <w:b/>
                <w:color w:val="1F4E79"/>
                <w:sz w:val="21"/>
              </w:rPr>
              <w:t>subobszarów</w:t>
            </w:r>
            <w:proofErr w:type="spellEnd"/>
            <w:r w:rsidRPr="00BA4F7F">
              <w:rPr>
                <w:rFonts w:ascii="Aptos" w:hAnsi="Aptos"/>
                <w:b/>
                <w:color w:val="1F4E79"/>
                <w:sz w:val="21"/>
              </w:rPr>
              <w:t xml:space="preserve"> i wskaźników szczegółowych.</w:t>
            </w:r>
          </w:p>
        </w:tc>
      </w:tr>
    </w:tbl>
    <w:p w14:paraId="1F73C99F" w14:textId="77777777" w:rsidR="001A7966" w:rsidRPr="00BA4F7F" w:rsidRDefault="001A7966" w:rsidP="001A7966">
      <w:pPr>
        <w:spacing w:after="0"/>
      </w:pPr>
    </w:p>
    <w:p w14:paraId="380A977A" w14:textId="77777777" w:rsidR="003357E9" w:rsidRPr="00BA4F7F" w:rsidRDefault="00000000">
      <w:pPr>
        <w:pStyle w:val="IRSHeading2"/>
        <w:keepLines/>
        <w:rPr>
          <w:lang w:val="pl-PL"/>
        </w:rPr>
      </w:pPr>
      <w:r w:rsidRPr="00BA4F7F">
        <w:rPr>
          <w:lang w:val="pl-PL"/>
        </w:rPr>
        <w:t>Jak interpretować wynik IRS</w:t>
      </w:r>
    </w:p>
    <w:p w14:paraId="0961FE70" w14:textId="77777777" w:rsidR="003357E9" w:rsidRPr="00BA4F7F" w:rsidRDefault="00000000">
      <w:r w:rsidRPr="00BA4F7F">
        <w:t>Wynik główny jest punktem wejścia do diagnozy, a nie samodzielną oceną państwa. Prawidłowa interpretacja wymaga jednoczesnego uwzględnienia poziomu, trajektorii, struktury, alertów i charakteru materiału dowodowego.</w:t>
      </w:r>
    </w:p>
    <w:p w14:paraId="0F6ABD5F" w14:textId="77777777" w:rsidR="003357E9" w:rsidRPr="00BA4F7F" w:rsidRDefault="00000000">
      <w:pPr>
        <w:pStyle w:val="Listapunktowana"/>
      </w:pPr>
      <w:r>
        <w:t>Wynik nie jest procentem wykonania zadań. Wartość 55,0 pkt jest ważoną pozycją na skali strategicznej, a nie informacją, że państwo zrealizowało 55,0% swoich celów.</w:t>
      </w:r>
    </w:p>
    <w:p w14:paraId="0CEF9F36" w14:textId="77777777" w:rsidR="003357E9" w:rsidRPr="00BA4F7F" w:rsidRDefault="00000000">
      <w:pPr>
        <w:pStyle w:val="Listapunktowana"/>
      </w:pPr>
      <w:r w:rsidRPr="00BA4F7F">
        <w:t>Ten sam poziom może oznaczać odbudowę albo pogorszenie. Wynik roczny należy czytać razem ze zmianą rok do roku, pełnym szeregiem i ruchomym horyzontem trzyletnim.</w:t>
      </w:r>
    </w:p>
    <w:p w14:paraId="5FBB88D9" w14:textId="77777777" w:rsidR="003357E9" w:rsidRPr="00BA4F7F" w:rsidRDefault="00000000">
      <w:pPr>
        <w:pStyle w:val="Listapunktowana"/>
      </w:pPr>
      <w:r w:rsidRPr="00BA4F7F">
        <w:t xml:space="preserve">Średnia może łączyć komponenty bardzo silne i krytycznie słabe. Analiza powinna przechodzić od wyniku głównego przez filary, </w:t>
      </w:r>
      <w:proofErr w:type="spellStart"/>
      <w:r w:rsidRPr="00BA4F7F">
        <w:t>subindeksy</w:t>
      </w:r>
      <w:proofErr w:type="spellEnd"/>
      <w:r w:rsidRPr="00BA4F7F">
        <w:t xml:space="preserve"> i </w:t>
      </w:r>
      <w:proofErr w:type="spellStart"/>
      <w:r w:rsidRPr="00BA4F7F">
        <w:t>subobszary</w:t>
      </w:r>
      <w:proofErr w:type="spellEnd"/>
      <w:r w:rsidRPr="00BA4F7F">
        <w:t xml:space="preserve"> do wskaźników, projektów oraz kryteriów.</w:t>
      </w:r>
    </w:p>
    <w:p w14:paraId="387DC972" w14:textId="77777777" w:rsidR="003357E9" w:rsidRPr="00BA4F7F" w:rsidRDefault="00000000">
      <w:pPr>
        <w:pStyle w:val="Listapunktowana"/>
      </w:pPr>
      <w:r w:rsidRPr="00BA4F7F">
        <w:t>Alerty są niezależną warstwą ostrzegawczą. Brak alertu oznacza wyłącznie niespełnienie progu metodologicznego, a sygnał trwałej słabości nie jest formalnym alertem.</w:t>
      </w:r>
    </w:p>
    <w:p w14:paraId="4CA5E15F" w14:textId="77777777" w:rsidR="003357E9" w:rsidRPr="00BA4F7F" w:rsidRDefault="00000000">
      <w:pPr>
        <w:pStyle w:val="Listapunktowana"/>
      </w:pPr>
      <w:r w:rsidRPr="00BA4F7F">
        <w:t xml:space="preserve">Komponenty ilościowe, projektowe i instytucjonalne mają odmienne podstawy dowodowe. Wspólna skala ułatwia hierarchizację </w:t>
      </w:r>
      <w:proofErr w:type="spellStart"/>
      <w:r w:rsidRPr="00BA4F7F">
        <w:t>ryzyk</w:t>
      </w:r>
      <w:proofErr w:type="spellEnd"/>
      <w:r w:rsidRPr="00BA4F7F">
        <w:t>, lecz nie oznacza pełnej równoważności zjawisk ani automatycznego dowodu przyczynowości.</w:t>
      </w:r>
    </w:p>
    <w:p w14:paraId="12C3D3E1" w14:textId="77777777" w:rsidR="003357E9" w:rsidRPr="00BA4F7F" w:rsidRDefault="00000000">
      <w:pPr>
        <w:pStyle w:val="Listapunktowana"/>
      </w:pPr>
      <w:r w:rsidRPr="00BA4F7F">
        <w:t>IRS nie jest rankingiem rządów, audytem sektorowym ani substytutem analizy prawnej. Wskazuje obszary wymagające pogłębienia i porządkuje dyskusję o długookresowych zdolnościach Rzeczypospolitej.</w:t>
      </w:r>
    </w:p>
    <w:p w14:paraId="7DA41475" w14:textId="77777777" w:rsidR="001A7966" w:rsidRPr="00BA4F7F" w:rsidRDefault="001A7966" w:rsidP="001A7966">
      <w:pPr>
        <w:pStyle w:val="IRSHeading2"/>
        <w:keepLines/>
        <w:rPr>
          <w:lang w:val="pl-PL"/>
        </w:rPr>
      </w:pPr>
      <w:r w:rsidRPr="00BA4F7F">
        <w:rPr>
          <w:lang w:val="pl-PL"/>
        </w:rPr>
        <w:lastRenderedPageBreak/>
        <w:t>Architektura indeksu</w:t>
      </w:r>
    </w:p>
    <w:p w14:paraId="1AB1D5C6" w14:textId="271C118A" w:rsidR="001A7966" w:rsidRPr="00BA4F7F" w:rsidRDefault="00F91D74" w:rsidP="001A7966">
      <w:pPr>
        <w:pStyle w:val="Lead"/>
        <w:keepNext/>
        <w:keepLines/>
        <w:rPr>
          <w:lang w:val="pl-PL"/>
        </w:rPr>
      </w:pPr>
      <w:r w:rsidRPr="00F91D74">
        <w:rPr>
          <w:lang w:val="pl-PL"/>
        </w:rPr>
        <w:drawing>
          <wp:inline distT="0" distB="0" distL="0" distR="0" wp14:anchorId="7AD9962C" wp14:editId="7B2C412D">
            <wp:extent cx="6192520" cy="2416175"/>
            <wp:effectExtent l="0" t="0" r="0" b="3175"/>
            <wp:docPr id="212075168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51681" name=""/>
                    <pic:cNvPicPr/>
                  </pic:nvPicPr>
                  <pic:blipFill>
                    <a:blip r:embed="rId13"/>
                    <a:stretch>
                      <a:fillRect/>
                    </a:stretch>
                  </pic:blipFill>
                  <pic:spPr>
                    <a:xfrm>
                      <a:off x="0" y="0"/>
                      <a:ext cx="6192520" cy="2416175"/>
                    </a:xfrm>
                    <a:prstGeom prst="rect">
                      <a:avLst/>
                    </a:prstGeom>
                  </pic:spPr>
                </pic:pic>
              </a:graphicData>
            </a:graphic>
          </wp:inline>
        </w:drawing>
      </w:r>
    </w:p>
    <w:p w14:paraId="3362DDC7" w14:textId="77777777" w:rsidR="001A7966" w:rsidRPr="00BA4F7F" w:rsidRDefault="001A7966" w:rsidP="001A7966">
      <w:pPr>
        <w:pStyle w:val="Legenda"/>
        <w:keepNext/>
        <w:keepLines/>
        <w:jc w:val="center"/>
      </w:pPr>
      <w:r w:rsidRPr="00BA4F7F">
        <w:t>Rysunek 1. Architektura Indeksu Racji Stanu.</w:t>
      </w:r>
    </w:p>
    <w:p w14:paraId="72E2F4C1" w14:textId="77777777" w:rsidR="001A7966" w:rsidRPr="00BA4F7F" w:rsidRDefault="001A7966" w:rsidP="001A7966"/>
    <w:p w14:paraId="07D48BAC" w14:textId="77777777" w:rsidR="001A7966" w:rsidRPr="00BA4F7F" w:rsidRDefault="001A7966" w:rsidP="001A7966">
      <w:r w:rsidRPr="00BA4F7F">
        <w:t>IRS ma strukturę pięciopoziomową. Każdy wynik wyższego poziomu powstaje przez agregację wyników poziomu niższego:</w:t>
      </w:r>
    </w:p>
    <w:tbl>
      <w:tblPr>
        <w:tblW w:w="0" w:type="auto"/>
        <w:jc w:val="center"/>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Layout w:type="fixed"/>
        <w:tblLook w:val="04A0" w:firstRow="1" w:lastRow="0" w:firstColumn="1" w:lastColumn="0" w:noHBand="0" w:noVBand="1"/>
      </w:tblPr>
      <w:tblGrid>
        <w:gridCol w:w="964"/>
        <w:gridCol w:w="2381"/>
        <w:gridCol w:w="6066"/>
      </w:tblGrid>
      <w:tr w:rsidR="001A7966" w:rsidRPr="00BA4F7F" w14:paraId="3DE6DF3A" w14:textId="77777777" w:rsidTr="008E56FA">
        <w:trPr>
          <w:cantSplit/>
          <w:tblHeader/>
          <w:jc w:val="center"/>
        </w:trPr>
        <w:tc>
          <w:tcPr>
            <w:tcW w:w="964" w:type="dxa"/>
            <w:shd w:val="clear" w:color="auto" w:fill="1F4E79"/>
            <w:tcMar>
              <w:top w:w="80" w:type="dxa"/>
              <w:left w:w="100" w:type="dxa"/>
              <w:bottom w:w="80" w:type="dxa"/>
              <w:right w:w="100" w:type="dxa"/>
            </w:tcMar>
            <w:vAlign w:val="center"/>
          </w:tcPr>
          <w:p w14:paraId="7FFF0D30" w14:textId="77777777" w:rsidR="001A7966" w:rsidRPr="00BA4F7F" w:rsidRDefault="001A7966" w:rsidP="008E56FA">
            <w:pPr>
              <w:spacing w:after="0" w:line="240" w:lineRule="auto"/>
              <w:jc w:val="center"/>
            </w:pPr>
            <w:r w:rsidRPr="00BA4F7F">
              <w:rPr>
                <w:rFonts w:ascii="Aptos" w:hAnsi="Aptos"/>
                <w:b/>
                <w:color w:val="FFFFFF"/>
                <w:sz w:val="17"/>
              </w:rPr>
              <w:t>Poziom</w:t>
            </w:r>
          </w:p>
        </w:tc>
        <w:tc>
          <w:tcPr>
            <w:tcW w:w="2381" w:type="dxa"/>
            <w:shd w:val="clear" w:color="auto" w:fill="1F4E79"/>
            <w:tcMar>
              <w:top w:w="80" w:type="dxa"/>
              <w:left w:w="100" w:type="dxa"/>
              <w:bottom w:w="80" w:type="dxa"/>
              <w:right w:w="100" w:type="dxa"/>
            </w:tcMar>
            <w:vAlign w:val="center"/>
          </w:tcPr>
          <w:p w14:paraId="76A9E41E" w14:textId="77777777" w:rsidR="001A7966" w:rsidRPr="00BA4F7F" w:rsidRDefault="001A7966" w:rsidP="008E56FA">
            <w:pPr>
              <w:spacing w:after="0" w:line="240" w:lineRule="auto"/>
              <w:jc w:val="center"/>
            </w:pPr>
            <w:r w:rsidRPr="00BA4F7F">
              <w:rPr>
                <w:rFonts w:ascii="Aptos" w:hAnsi="Aptos"/>
                <w:b/>
                <w:color w:val="FFFFFF"/>
                <w:sz w:val="17"/>
              </w:rPr>
              <w:t>Element</w:t>
            </w:r>
          </w:p>
        </w:tc>
        <w:tc>
          <w:tcPr>
            <w:tcW w:w="6066" w:type="dxa"/>
            <w:shd w:val="clear" w:color="auto" w:fill="1F4E79"/>
            <w:tcMar>
              <w:top w:w="80" w:type="dxa"/>
              <w:left w:w="100" w:type="dxa"/>
              <w:bottom w:w="80" w:type="dxa"/>
              <w:right w:w="100" w:type="dxa"/>
            </w:tcMar>
            <w:vAlign w:val="center"/>
          </w:tcPr>
          <w:p w14:paraId="6EA15280" w14:textId="77777777" w:rsidR="001A7966" w:rsidRPr="00BA4F7F" w:rsidRDefault="001A7966" w:rsidP="008E56FA">
            <w:pPr>
              <w:spacing w:after="0" w:line="240" w:lineRule="auto"/>
              <w:jc w:val="center"/>
            </w:pPr>
            <w:r w:rsidRPr="00BA4F7F">
              <w:rPr>
                <w:rFonts w:ascii="Aptos" w:hAnsi="Aptos"/>
                <w:b/>
                <w:color w:val="FFFFFF"/>
                <w:sz w:val="17"/>
              </w:rPr>
              <w:t>Funkcja analityczna</w:t>
            </w:r>
          </w:p>
        </w:tc>
      </w:tr>
      <w:tr w:rsidR="001A7966" w:rsidRPr="00BA4F7F" w14:paraId="1E240C66" w14:textId="77777777" w:rsidTr="008E56FA">
        <w:trPr>
          <w:cantSplit/>
          <w:jc w:val="center"/>
        </w:trPr>
        <w:tc>
          <w:tcPr>
            <w:tcW w:w="964" w:type="dxa"/>
            <w:shd w:val="clear" w:color="auto" w:fill="FFFFFF"/>
            <w:tcMar>
              <w:top w:w="80" w:type="dxa"/>
              <w:left w:w="100" w:type="dxa"/>
              <w:bottom w:w="80" w:type="dxa"/>
              <w:right w:w="100" w:type="dxa"/>
            </w:tcMar>
            <w:vAlign w:val="center"/>
          </w:tcPr>
          <w:p w14:paraId="5D0E8F1B" w14:textId="77777777" w:rsidR="001A7966" w:rsidRPr="00BA4F7F" w:rsidRDefault="001A7966" w:rsidP="008E56FA">
            <w:pPr>
              <w:spacing w:after="0" w:line="240" w:lineRule="auto"/>
              <w:jc w:val="left"/>
            </w:pPr>
            <w:r w:rsidRPr="00BA4F7F">
              <w:rPr>
                <w:rFonts w:ascii="Aptos" w:hAnsi="Aptos"/>
                <w:b/>
                <w:color w:val="222222"/>
                <w:sz w:val="17"/>
              </w:rPr>
              <w:t>1</w:t>
            </w:r>
          </w:p>
        </w:tc>
        <w:tc>
          <w:tcPr>
            <w:tcW w:w="2381" w:type="dxa"/>
            <w:shd w:val="clear" w:color="auto" w:fill="FFFFFF"/>
            <w:tcMar>
              <w:top w:w="80" w:type="dxa"/>
              <w:left w:w="100" w:type="dxa"/>
              <w:bottom w:w="80" w:type="dxa"/>
              <w:right w:w="100" w:type="dxa"/>
            </w:tcMar>
            <w:vAlign w:val="center"/>
          </w:tcPr>
          <w:p w14:paraId="1294F340" w14:textId="77777777" w:rsidR="001A7966" w:rsidRPr="00BA4F7F" w:rsidRDefault="001A7966" w:rsidP="008E56FA">
            <w:pPr>
              <w:spacing w:after="0" w:line="240" w:lineRule="auto"/>
              <w:jc w:val="left"/>
            </w:pPr>
            <w:r w:rsidRPr="00BA4F7F">
              <w:rPr>
                <w:rFonts w:ascii="Aptos" w:hAnsi="Aptos"/>
                <w:color w:val="222222"/>
                <w:sz w:val="17"/>
              </w:rPr>
              <w:t>Wynik główny IRS</w:t>
            </w:r>
          </w:p>
        </w:tc>
        <w:tc>
          <w:tcPr>
            <w:tcW w:w="6066" w:type="dxa"/>
            <w:shd w:val="clear" w:color="auto" w:fill="FFFFFF"/>
            <w:tcMar>
              <w:top w:w="80" w:type="dxa"/>
              <w:left w:w="100" w:type="dxa"/>
              <w:bottom w:w="80" w:type="dxa"/>
              <w:right w:w="100" w:type="dxa"/>
            </w:tcMar>
            <w:vAlign w:val="center"/>
          </w:tcPr>
          <w:p w14:paraId="77449C10" w14:textId="77777777" w:rsidR="001A7966" w:rsidRPr="00BA4F7F" w:rsidRDefault="001A7966" w:rsidP="008E56FA">
            <w:pPr>
              <w:spacing w:after="0" w:line="240" w:lineRule="auto"/>
              <w:jc w:val="left"/>
            </w:pPr>
            <w:r w:rsidRPr="00BA4F7F">
              <w:rPr>
                <w:rFonts w:ascii="Aptos" w:hAnsi="Aptos"/>
                <w:color w:val="222222"/>
                <w:sz w:val="17"/>
              </w:rPr>
              <w:t>Syntetyczna ocena zdolności państwa z perspektywy racji stanu.</w:t>
            </w:r>
          </w:p>
        </w:tc>
      </w:tr>
      <w:tr w:rsidR="001A7966" w:rsidRPr="00BA4F7F" w14:paraId="70678749" w14:textId="77777777" w:rsidTr="008E56FA">
        <w:trPr>
          <w:cantSplit/>
          <w:jc w:val="center"/>
        </w:trPr>
        <w:tc>
          <w:tcPr>
            <w:tcW w:w="964" w:type="dxa"/>
            <w:shd w:val="clear" w:color="auto" w:fill="EEF5FA"/>
            <w:tcMar>
              <w:top w:w="80" w:type="dxa"/>
              <w:left w:w="100" w:type="dxa"/>
              <w:bottom w:w="80" w:type="dxa"/>
              <w:right w:w="100" w:type="dxa"/>
            </w:tcMar>
            <w:vAlign w:val="center"/>
          </w:tcPr>
          <w:p w14:paraId="67FC5ED3" w14:textId="77777777" w:rsidR="001A7966" w:rsidRPr="00BA4F7F" w:rsidRDefault="001A7966" w:rsidP="008E56FA">
            <w:pPr>
              <w:spacing w:after="0" w:line="240" w:lineRule="auto"/>
              <w:jc w:val="left"/>
            </w:pPr>
            <w:r w:rsidRPr="00BA4F7F">
              <w:rPr>
                <w:rFonts w:ascii="Aptos" w:hAnsi="Aptos"/>
                <w:b/>
                <w:color w:val="222222"/>
                <w:sz w:val="17"/>
              </w:rPr>
              <w:t>2</w:t>
            </w:r>
          </w:p>
        </w:tc>
        <w:tc>
          <w:tcPr>
            <w:tcW w:w="2381" w:type="dxa"/>
            <w:shd w:val="clear" w:color="auto" w:fill="EEF5FA"/>
            <w:tcMar>
              <w:top w:w="80" w:type="dxa"/>
              <w:left w:w="100" w:type="dxa"/>
              <w:bottom w:w="80" w:type="dxa"/>
              <w:right w:w="100" w:type="dxa"/>
            </w:tcMar>
            <w:vAlign w:val="center"/>
          </w:tcPr>
          <w:p w14:paraId="57CEA037" w14:textId="77777777" w:rsidR="001A7966" w:rsidRPr="00BA4F7F" w:rsidRDefault="001A7966" w:rsidP="008E56FA">
            <w:pPr>
              <w:spacing w:after="0" w:line="240" w:lineRule="auto"/>
              <w:jc w:val="left"/>
            </w:pPr>
            <w:r w:rsidRPr="00BA4F7F">
              <w:rPr>
                <w:rFonts w:ascii="Aptos" w:hAnsi="Aptos"/>
                <w:color w:val="222222"/>
                <w:sz w:val="17"/>
              </w:rPr>
              <w:t>Dwa filary</w:t>
            </w:r>
          </w:p>
        </w:tc>
        <w:tc>
          <w:tcPr>
            <w:tcW w:w="6066" w:type="dxa"/>
            <w:shd w:val="clear" w:color="auto" w:fill="EEF5FA"/>
            <w:tcMar>
              <w:top w:w="80" w:type="dxa"/>
              <w:left w:w="100" w:type="dxa"/>
              <w:bottom w:w="80" w:type="dxa"/>
              <w:right w:w="100" w:type="dxa"/>
            </w:tcMar>
            <w:vAlign w:val="center"/>
          </w:tcPr>
          <w:p w14:paraId="2CE53679" w14:textId="77777777" w:rsidR="001A7966" w:rsidRPr="00BA4F7F" w:rsidRDefault="001A7966" w:rsidP="008E56FA">
            <w:pPr>
              <w:spacing w:after="0" w:line="240" w:lineRule="auto"/>
              <w:jc w:val="left"/>
            </w:pPr>
            <w:r w:rsidRPr="00BA4F7F">
              <w:rPr>
                <w:rFonts w:ascii="Aptos" w:hAnsi="Aptos"/>
                <w:color w:val="222222"/>
                <w:sz w:val="17"/>
              </w:rPr>
              <w:t>Kondycja systemowa oraz Strategia i państwo.</w:t>
            </w:r>
          </w:p>
        </w:tc>
      </w:tr>
      <w:tr w:rsidR="001A7966" w:rsidRPr="00BA4F7F" w14:paraId="5C608FFE" w14:textId="77777777" w:rsidTr="008E56FA">
        <w:trPr>
          <w:cantSplit/>
          <w:jc w:val="center"/>
        </w:trPr>
        <w:tc>
          <w:tcPr>
            <w:tcW w:w="964" w:type="dxa"/>
            <w:shd w:val="clear" w:color="auto" w:fill="FFFFFF"/>
            <w:tcMar>
              <w:top w:w="80" w:type="dxa"/>
              <w:left w:w="100" w:type="dxa"/>
              <w:bottom w:w="80" w:type="dxa"/>
              <w:right w:w="100" w:type="dxa"/>
            </w:tcMar>
            <w:vAlign w:val="center"/>
          </w:tcPr>
          <w:p w14:paraId="4EBDF8B9" w14:textId="77777777" w:rsidR="001A7966" w:rsidRPr="00BA4F7F" w:rsidRDefault="001A7966" w:rsidP="008E56FA">
            <w:pPr>
              <w:spacing w:after="0" w:line="240" w:lineRule="auto"/>
              <w:jc w:val="left"/>
            </w:pPr>
            <w:r w:rsidRPr="00BA4F7F">
              <w:rPr>
                <w:rFonts w:ascii="Aptos" w:hAnsi="Aptos"/>
                <w:b/>
                <w:color w:val="222222"/>
                <w:sz w:val="17"/>
              </w:rPr>
              <w:t>3</w:t>
            </w:r>
          </w:p>
        </w:tc>
        <w:tc>
          <w:tcPr>
            <w:tcW w:w="2381" w:type="dxa"/>
            <w:shd w:val="clear" w:color="auto" w:fill="FFFFFF"/>
            <w:tcMar>
              <w:top w:w="80" w:type="dxa"/>
              <w:left w:w="100" w:type="dxa"/>
              <w:bottom w:w="80" w:type="dxa"/>
              <w:right w:w="100" w:type="dxa"/>
            </w:tcMar>
            <w:vAlign w:val="center"/>
          </w:tcPr>
          <w:p w14:paraId="68FBBF20" w14:textId="77777777" w:rsidR="001A7966" w:rsidRPr="00BA4F7F" w:rsidRDefault="001A7966" w:rsidP="008E56FA">
            <w:pPr>
              <w:spacing w:after="0" w:line="240" w:lineRule="auto"/>
              <w:jc w:val="left"/>
            </w:pPr>
            <w:r w:rsidRPr="00BA4F7F">
              <w:rPr>
                <w:rFonts w:ascii="Aptos" w:hAnsi="Aptos"/>
                <w:color w:val="222222"/>
                <w:sz w:val="17"/>
              </w:rPr>
              <w:t xml:space="preserve">Sześć </w:t>
            </w:r>
            <w:proofErr w:type="spellStart"/>
            <w:r w:rsidRPr="00BA4F7F">
              <w:rPr>
                <w:rFonts w:ascii="Aptos" w:hAnsi="Aptos"/>
                <w:color w:val="222222"/>
                <w:sz w:val="17"/>
              </w:rPr>
              <w:t>subindeksów</w:t>
            </w:r>
            <w:proofErr w:type="spellEnd"/>
          </w:p>
        </w:tc>
        <w:tc>
          <w:tcPr>
            <w:tcW w:w="6066" w:type="dxa"/>
            <w:shd w:val="clear" w:color="auto" w:fill="FFFFFF"/>
            <w:tcMar>
              <w:top w:w="80" w:type="dxa"/>
              <w:left w:w="100" w:type="dxa"/>
              <w:bottom w:w="80" w:type="dxa"/>
              <w:right w:w="100" w:type="dxa"/>
            </w:tcMar>
            <w:vAlign w:val="center"/>
          </w:tcPr>
          <w:p w14:paraId="1CE01A60" w14:textId="77777777" w:rsidR="001A7966" w:rsidRPr="00BA4F7F" w:rsidRDefault="001A7966" w:rsidP="008E56FA">
            <w:pPr>
              <w:spacing w:after="0" w:line="240" w:lineRule="auto"/>
              <w:jc w:val="left"/>
            </w:pPr>
            <w:r w:rsidRPr="00BA4F7F">
              <w:rPr>
                <w:rFonts w:ascii="Aptos" w:hAnsi="Aptos"/>
                <w:color w:val="222222"/>
                <w:sz w:val="17"/>
              </w:rPr>
              <w:t>Gospodarka, Bezpieczeństwo, Demografia, Spójność społeczna, Projekty strategiczne i Ład instytucjonalny.</w:t>
            </w:r>
          </w:p>
        </w:tc>
      </w:tr>
      <w:tr w:rsidR="001A7966" w:rsidRPr="00BA4F7F" w14:paraId="2E5885AF" w14:textId="77777777" w:rsidTr="008E56FA">
        <w:trPr>
          <w:cantSplit/>
          <w:jc w:val="center"/>
        </w:trPr>
        <w:tc>
          <w:tcPr>
            <w:tcW w:w="964" w:type="dxa"/>
            <w:shd w:val="clear" w:color="auto" w:fill="EEF5FA"/>
            <w:tcMar>
              <w:top w:w="80" w:type="dxa"/>
              <w:left w:w="100" w:type="dxa"/>
              <w:bottom w:w="80" w:type="dxa"/>
              <w:right w:w="100" w:type="dxa"/>
            </w:tcMar>
            <w:vAlign w:val="center"/>
          </w:tcPr>
          <w:p w14:paraId="7F80E92C" w14:textId="77777777" w:rsidR="001A7966" w:rsidRPr="00BA4F7F" w:rsidRDefault="001A7966" w:rsidP="008E56FA">
            <w:pPr>
              <w:spacing w:after="0" w:line="240" w:lineRule="auto"/>
              <w:jc w:val="left"/>
            </w:pPr>
            <w:r w:rsidRPr="00BA4F7F">
              <w:rPr>
                <w:rFonts w:ascii="Aptos" w:hAnsi="Aptos"/>
                <w:b/>
                <w:color w:val="222222"/>
                <w:sz w:val="17"/>
              </w:rPr>
              <w:t>4</w:t>
            </w:r>
          </w:p>
        </w:tc>
        <w:tc>
          <w:tcPr>
            <w:tcW w:w="2381" w:type="dxa"/>
            <w:shd w:val="clear" w:color="auto" w:fill="EEF5FA"/>
            <w:tcMar>
              <w:top w:w="80" w:type="dxa"/>
              <w:left w:w="100" w:type="dxa"/>
              <w:bottom w:w="80" w:type="dxa"/>
              <w:right w:w="100" w:type="dxa"/>
            </w:tcMar>
            <w:vAlign w:val="center"/>
          </w:tcPr>
          <w:p w14:paraId="0F7E3E64" w14:textId="77777777" w:rsidR="001A7966" w:rsidRPr="00BA4F7F" w:rsidRDefault="001A7966" w:rsidP="008E56FA">
            <w:pPr>
              <w:spacing w:after="0" w:line="240" w:lineRule="auto"/>
              <w:jc w:val="left"/>
            </w:pPr>
            <w:r w:rsidRPr="00BA4F7F">
              <w:rPr>
                <w:rFonts w:ascii="Aptos" w:hAnsi="Aptos"/>
                <w:color w:val="222222"/>
                <w:sz w:val="17"/>
              </w:rPr>
              <w:t xml:space="preserve">Dwadzieścia </w:t>
            </w:r>
            <w:proofErr w:type="spellStart"/>
            <w:r w:rsidRPr="00BA4F7F">
              <w:rPr>
                <w:rFonts w:ascii="Aptos" w:hAnsi="Aptos"/>
                <w:color w:val="222222"/>
                <w:sz w:val="17"/>
              </w:rPr>
              <w:t>subobszarów</w:t>
            </w:r>
            <w:proofErr w:type="spellEnd"/>
          </w:p>
        </w:tc>
        <w:tc>
          <w:tcPr>
            <w:tcW w:w="6066" w:type="dxa"/>
            <w:shd w:val="clear" w:color="auto" w:fill="EEF5FA"/>
            <w:tcMar>
              <w:top w:w="80" w:type="dxa"/>
              <w:left w:w="100" w:type="dxa"/>
              <w:bottom w:w="80" w:type="dxa"/>
              <w:right w:w="100" w:type="dxa"/>
            </w:tcMar>
            <w:vAlign w:val="center"/>
          </w:tcPr>
          <w:p w14:paraId="792C2A1D" w14:textId="77777777" w:rsidR="001A7966" w:rsidRPr="00BA4F7F" w:rsidRDefault="001A7966" w:rsidP="008E56FA">
            <w:pPr>
              <w:spacing w:after="0" w:line="240" w:lineRule="auto"/>
              <w:jc w:val="left"/>
            </w:pPr>
            <w:r w:rsidRPr="00BA4F7F">
              <w:rPr>
                <w:rFonts w:ascii="Aptos" w:hAnsi="Aptos"/>
                <w:color w:val="222222"/>
                <w:sz w:val="17"/>
              </w:rPr>
              <w:t>Jednorodne bloki tematyczne pozwalające wskazać źródła siły i ryzyka.</w:t>
            </w:r>
          </w:p>
        </w:tc>
      </w:tr>
      <w:tr w:rsidR="001A7966" w:rsidRPr="00BA4F7F" w14:paraId="4B18E7B7" w14:textId="77777777" w:rsidTr="008E56FA">
        <w:trPr>
          <w:cantSplit/>
          <w:jc w:val="center"/>
        </w:trPr>
        <w:tc>
          <w:tcPr>
            <w:tcW w:w="964" w:type="dxa"/>
            <w:shd w:val="clear" w:color="auto" w:fill="FFFFFF"/>
            <w:tcMar>
              <w:top w:w="80" w:type="dxa"/>
              <w:left w:w="100" w:type="dxa"/>
              <w:bottom w:w="80" w:type="dxa"/>
              <w:right w:w="100" w:type="dxa"/>
            </w:tcMar>
            <w:vAlign w:val="center"/>
          </w:tcPr>
          <w:p w14:paraId="150D5AD3" w14:textId="77777777" w:rsidR="001A7966" w:rsidRPr="00BA4F7F" w:rsidRDefault="001A7966" w:rsidP="008E56FA">
            <w:pPr>
              <w:spacing w:after="0" w:line="240" w:lineRule="auto"/>
              <w:jc w:val="left"/>
            </w:pPr>
            <w:r w:rsidRPr="00BA4F7F">
              <w:rPr>
                <w:rFonts w:ascii="Aptos" w:hAnsi="Aptos"/>
                <w:b/>
                <w:color w:val="222222"/>
                <w:sz w:val="17"/>
              </w:rPr>
              <w:t>5</w:t>
            </w:r>
          </w:p>
        </w:tc>
        <w:tc>
          <w:tcPr>
            <w:tcW w:w="2381" w:type="dxa"/>
            <w:shd w:val="clear" w:color="auto" w:fill="FFFFFF"/>
            <w:tcMar>
              <w:top w:w="80" w:type="dxa"/>
              <w:left w:w="100" w:type="dxa"/>
              <w:bottom w:w="80" w:type="dxa"/>
              <w:right w:w="100" w:type="dxa"/>
            </w:tcMar>
            <w:vAlign w:val="center"/>
          </w:tcPr>
          <w:p w14:paraId="3C6218BC" w14:textId="77777777" w:rsidR="001A7966" w:rsidRPr="00BA4F7F" w:rsidRDefault="001A7966" w:rsidP="008E56FA">
            <w:pPr>
              <w:spacing w:after="0" w:line="240" w:lineRule="auto"/>
              <w:jc w:val="left"/>
            </w:pPr>
            <w:r w:rsidRPr="00BA4F7F">
              <w:rPr>
                <w:rFonts w:ascii="Aptos" w:hAnsi="Aptos"/>
                <w:color w:val="222222"/>
                <w:sz w:val="17"/>
              </w:rPr>
              <w:t>Wskaźniki, projekty lub pozycje oceny</w:t>
            </w:r>
          </w:p>
        </w:tc>
        <w:tc>
          <w:tcPr>
            <w:tcW w:w="6066" w:type="dxa"/>
            <w:shd w:val="clear" w:color="auto" w:fill="FFFFFF"/>
            <w:tcMar>
              <w:top w:w="80" w:type="dxa"/>
              <w:left w:w="100" w:type="dxa"/>
              <w:bottom w:w="80" w:type="dxa"/>
              <w:right w:w="100" w:type="dxa"/>
            </w:tcMar>
            <w:vAlign w:val="center"/>
          </w:tcPr>
          <w:p w14:paraId="1A5BB419" w14:textId="77777777" w:rsidR="001A7966" w:rsidRPr="00BA4F7F" w:rsidRDefault="001A7966" w:rsidP="008E56FA">
            <w:pPr>
              <w:spacing w:after="0" w:line="240" w:lineRule="auto"/>
              <w:jc w:val="left"/>
            </w:pPr>
            <w:r w:rsidRPr="00BA4F7F">
              <w:rPr>
                <w:rFonts w:ascii="Aptos" w:hAnsi="Aptos"/>
                <w:color w:val="222222"/>
                <w:sz w:val="17"/>
              </w:rPr>
              <w:t>Najniższy poziom pomiaru ilościowego albo ekspercko-dokumentacyjnego.</w:t>
            </w:r>
          </w:p>
        </w:tc>
      </w:tr>
    </w:tbl>
    <w:p w14:paraId="157E4002" w14:textId="77777777" w:rsidR="001A7966" w:rsidRPr="00BA4F7F" w:rsidRDefault="001A7966" w:rsidP="001A7966">
      <w:pPr>
        <w:spacing w:after="0"/>
      </w:pPr>
    </w:p>
    <w:p w14:paraId="276A4F1D" w14:textId="77777777" w:rsidR="001A7966" w:rsidRPr="00BA4F7F" w:rsidRDefault="001A7966" w:rsidP="001A7966">
      <w:r w:rsidRPr="00BA4F7F">
        <w:t xml:space="preserve">Taka konstrukcja oznacza, że wynik główny nie powinien być interpretowany samodzielnie. Jest on punktem wejścia do analizy, natomiast wyjaśnienie jego poziomu i zmiany wymaga przejścia kolejno przez filary, </w:t>
      </w:r>
      <w:proofErr w:type="spellStart"/>
      <w:r w:rsidRPr="00BA4F7F">
        <w:t>subindeksy</w:t>
      </w:r>
      <w:proofErr w:type="spellEnd"/>
      <w:r w:rsidRPr="00BA4F7F">
        <w:t xml:space="preserve">, </w:t>
      </w:r>
      <w:proofErr w:type="spellStart"/>
      <w:r w:rsidRPr="00BA4F7F">
        <w:t>subobszary</w:t>
      </w:r>
      <w:proofErr w:type="spellEnd"/>
      <w:r w:rsidRPr="00BA4F7F">
        <w:t xml:space="preserve"> oraz komponenty szczegółowe.</w:t>
      </w:r>
    </w:p>
    <w:p w14:paraId="3469E2D4" w14:textId="77777777" w:rsidR="001A7966" w:rsidRPr="00BA4F7F" w:rsidRDefault="001A7966" w:rsidP="001A7966">
      <w:pPr>
        <w:pStyle w:val="IRSHeading3"/>
        <w:keepLines/>
        <w:rPr>
          <w:lang w:val="pl-PL"/>
        </w:rPr>
      </w:pPr>
      <w:r w:rsidRPr="00BA4F7F">
        <w:rPr>
          <w:lang w:val="pl-PL"/>
        </w:rPr>
        <w:t>Dwa filary IRS</w:t>
      </w:r>
    </w:p>
    <w:p w14:paraId="5D2FA9F1" w14:textId="77777777" w:rsidR="001A7966" w:rsidRPr="00BA4F7F" w:rsidRDefault="001A7966" w:rsidP="001A7966">
      <w:r w:rsidRPr="00BA4F7F">
        <w:rPr>
          <w:b/>
          <w:color w:val="1F4E79"/>
        </w:rPr>
        <w:t xml:space="preserve">Filar I – Kondycja systemowa </w:t>
      </w:r>
      <w:r w:rsidRPr="00BA4F7F">
        <w:t>ocenia podstawowe zasoby i warunki trwałości państwa. Obejmuje Gospodarkę, Bezpieczeństwo, Demografię oraz Spójność społeczną. Bada między innymi zdolność państwa do finansowania swoich funkcji, ochrony terytorium i ludności, odtwarzania potencjału ludnościowego oraz utrzymania stabilnej wspólnoty społecznej.</w:t>
      </w:r>
    </w:p>
    <w:p w14:paraId="089774F8" w14:textId="77777777" w:rsidR="001A7966" w:rsidRPr="00BA4F7F" w:rsidRDefault="001A7966" w:rsidP="001A7966">
      <w:r w:rsidRPr="00BA4F7F">
        <w:rPr>
          <w:b/>
          <w:color w:val="1F4E79"/>
        </w:rPr>
        <w:t xml:space="preserve">Filar II – Strategia i państwo </w:t>
      </w:r>
      <w:r w:rsidRPr="00BA4F7F">
        <w:t xml:space="preserve">ocenia zdolność do przekładania długofalowych decyzji na materialne i instytucjonalne funkcje państwa. Obejmuje Projekty strategiczne oraz Ład instytucjonalny. Analizuje zarówno realizację przedsięwzięć w energetyce, transporcie, cyfryzacji i obronności, jak również warunki legalnego, przewidywalnego, spójnego i </w:t>
      </w:r>
      <w:proofErr w:type="spellStart"/>
      <w:r w:rsidRPr="00BA4F7F">
        <w:t>rozliczalnego</w:t>
      </w:r>
      <w:proofErr w:type="spellEnd"/>
      <w:r w:rsidRPr="00BA4F7F">
        <w:t xml:space="preserve"> działania instytucji.</w:t>
      </w:r>
    </w:p>
    <w:p w14:paraId="356F0F95" w14:textId="77777777" w:rsidR="001A7966" w:rsidRPr="00BA4F7F" w:rsidRDefault="001A7966" w:rsidP="001A7966">
      <w:pPr>
        <w:pStyle w:val="IRSHeading2"/>
        <w:keepLines/>
        <w:rPr>
          <w:lang w:val="pl-PL"/>
        </w:rPr>
      </w:pPr>
      <w:r w:rsidRPr="00BA4F7F">
        <w:rPr>
          <w:lang w:val="pl-PL"/>
        </w:rPr>
        <w:t>Dwa moduły pomiarowe</w:t>
      </w:r>
    </w:p>
    <w:p w14:paraId="00B59788" w14:textId="77777777" w:rsidR="001A7966" w:rsidRPr="00BA4F7F" w:rsidRDefault="001A7966" w:rsidP="001A7966">
      <w:r w:rsidRPr="00BA4F7F">
        <w:t>IRS wykorzystuje dwa moduły, dobierane do charakteru ocenianego zjawiska.</w:t>
      </w:r>
    </w:p>
    <w:p w14:paraId="5182EC0F" w14:textId="77777777" w:rsidR="001A7966" w:rsidRPr="00BA4F7F" w:rsidRDefault="001A7966" w:rsidP="001A7966">
      <w:pPr>
        <w:pStyle w:val="IRSHeading3"/>
        <w:keepLines/>
        <w:rPr>
          <w:lang w:val="pl-PL"/>
        </w:rPr>
      </w:pPr>
      <w:r w:rsidRPr="00BA4F7F">
        <w:rPr>
          <w:lang w:val="pl-PL"/>
        </w:rPr>
        <w:t>Moduł ilościowy</w:t>
      </w:r>
    </w:p>
    <w:p w14:paraId="26A6E95F" w14:textId="77777777" w:rsidR="001A7966" w:rsidRPr="00BA4F7F" w:rsidRDefault="001A7966" w:rsidP="001A7966">
      <w:r w:rsidRPr="00BA4F7F">
        <w:t>Jest stosowany tam, gdzie istnieje stabilna, porównywalna i możliwa do odtworzenia wartość źródłowa. Obejmuje:</w:t>
      </w:r>
    </w:p>
    <w:p w14:paraId="6C53B25B" w14:textId="77777777" w:rsidR="001A7966" w:rsidRPr="00BA4F7F" w:rsidRDefault="001A7966" w:rsidP="001A7966">
      <w:pPr>
        <w:pStyle w:val="Listapunktowana"/>
        <w:spacing w:after="40" w:line="259" w:lineRule="auto"/>
        <w:ind w:left="255" w:hanging="113"/>
        <w:jc w:val="left"/>
      </w:pPr>
      <w:r w:rsidRPr="00BA4F7F">
        <w:t>pozyskanie danych i określenie ich statusu;</w:t>
      </w:r>
    </w:p>
    <w:p w14:paraId="61EE4CE2" w14:textId="77777777" w:rsidR="001A7966" w:rsidRPr="00BA4F7F" w:rsidRDefault="001A7966" w:rsidP="001A7966">
      <w:pPr>
        <w:pStyle w:val="Listapunktowana"/>
        <w:spacing w:after="40" w:line="259" w:lineRule="auto"/>
        <w:ind w:left="255" w:hanging="113"/>
        <w:jc w:val="left"/>
      </w:pPr>
      <w:r w:rsidRPr="00BA4F7F">
        <w:t>sprawdzenie definicji, jednostki oraz porównywalności między latami;</w:t>
      </w:r>
    </w:p>
    <w:p w14:paraId="0E0875D0" w14:textId="77777777" w:rsidR="001A7966" w:rsidRPr="00BA4F7F" w:rsidRDefault="001A7966" w:rsidP="001A7966">
      <w:pPr>
        <w:pStyle w:val="Listapunktowana"/>
        <w:spacing w:after="40" w:line="259" w:lineRule="auto"/>
        <w:ind w:left="255" w:hanging="113"/>
        <w:jc w:val="left"/>
      </w:pPr>
      <w:r w:rsidRPr="00BA4F7F">
        <w:t>określenie, czy wzrost wartości jest korzystny, niekorzystny lub optymalny tylko w określonym przedziale;</w:t>
      </w:r>
    </w:p>
    <w:p w14:paraId="759C5BC4" w14:textId="77777777" w:rsidR="001A7966" w:rsidRPr="00BA4F7F" w:rsidRDefault="001A7966" w:rsidP="001A7966">
      <w:pPr>
        <w:pStyle w:val="Listapunktowana"/>
        <w:spacing w:after="40" w:line="259" w:lineRule="auto"/>
        <w:ind w:left="255" w:hanging="113"/>
        <w:jc w:val="left"/>
      </w:pPr>
      <w:r w:rsidRPr="00BA4F7F">
        <w:t>przeliczenie wartości źródłowej na skalę 0–100 pkt;</w:t>
      </w:r>
    </w:p>
    <w:p w14:paraId="0A7958AE" w14:textId="77777777" w:rsidR="001A7966" w:rsidRPr="00BA4F7F" w:rsidRDefault="001A7966" w:rsidP="001A7966">
      <w:pPr>
        <w:pStyle w:val="Listapunktowana"/>
        <w:spacing w:after="40" w:line="259" w:lineRule="auto"/>
        <w:ind w:left="255" w:hanging="113"/>
        <w:jc w:val="left"/>
      </w:pPr>
      <w:r w:rsidRPr="00BA4F7F">
        <w:lastRenderedPageBreak/>
        <w:t>ważoną agregację na kolejnych poziomach modelu.</w:t>
      </w:r>
    </w:p>
    <w:p w14:paraId="6C4BC308" w14:textId="77777777" w:rsidR="001A7966" w:rsidRPr="00BA4F7F" w:rsidRDefault="001A7966" w:rsidP="001A7966">
      <w:r w:rsidRPr="00BA4F7F">
        <w:t>Dane źródłowe mają różne jednostki i kierunki interpretacji, dlatego nie mogą być bezpośrednio sumowane. Każdemu wskaźnikowi przypisana jest udokumentowana funkcja punktowa. W zależności od jego charakteru może to być funkcja rosnąca, malejąca, odcinkowo-liniowa, z pasmem optymalnym, z nasyceniem albo odnosząca wynik do benchmarku lub scenariusza referencyjnego. Najczęściej stosowana jest interpolacja liniowa między zdefiniowanymi progami.</w:t>
      </w:r>
    </w:p>
    <w:p w14:paraId="3185F01C" w14:textId="77777777" w:rsidR="001A7966" w:rsidRPr="00BA4F7F" w:rsidRDefault="001A7966" w:rsidP="001A7966">
      <w:r w:rsidRPr="00BA4F7F">
        <w:t>Normalizacja nie oznacza mechanicznego przekształcenia wartości na procent. Progi odzwierciedlają udokumentowaną ocenę poziomu bezpiecznego, wystarczającego lub ryzykownego z perspektywy racji stanu. Mogą wynikać ze standardu instytucjonalnego, progu strategicznego, danych historycznych, benchmarku rozwojowego albo oficjalnej prognozy.</w:t>
      </w:r>
    </w:p>
    <w:p w14:paraId="7A5932B7" w14:textId="77777777" w:rsidR="001A7966" w:rsidRPr="00BA4F7F" w:rsidRDefault="001A7966" w:rsidP="001A7966">
      <w:pPr>
        <w:pStyle w:val="IRSHeading3"/>
        <w:keepLines/>
        <w:rPr>
          <w:lang w:val="pl-PL"/>
        </w:rPr>
      </w:pPr>
      <w:r w:rsidRPr="00BA4F7F">
        <w:rPr>
          <w:lang w:val="pl-PL"/>
        </w:rPr>
        <w:t>Moduł ekspercko-dokumentacyjny</w:t>
      </w:r>
    </w:p>
    <w:p w14:paraId="4AFBA0CC" w14:textId="77777777" w:rsidR="001A7966" w:rsidRPr="00BA4F7F" w:rsidRDefault="001A7966" w:rsidP="001A7966">
      <w:r w:rsidRPr="00BA4F7F">
        <w:t>Jest wykorzystywany w odniesieniu do projektów, instytucji i działań państwa, których jakości nie opisuje jeden stabilny wskaźnik statystyczny. Ocena odbywa się według jawnych kryteriów i obejmuje:</w:t>
      </w:r>
    </w:p>
    <w:p w14:paraId="325497F0" w14:textId="77777777" w:rsidR="001A7966" w:rsidRPr="00BA4F7F" w:rsidRDefault="001A7966" w:rsidP="001A7966">
      <w:pPr>
        <w:pStyle w:val="Listapunktowana"/>
        <w:spacing w:after="40" w:line="259" w:lineRule="auto"/>
        <w:ind w:left="255" w:hanging="113"/>
        <w:jc w:val="left"/>
      </w:pPr>
      <w:r w:rsidRPr="00BA4F7F">
        <w:t>określenie przedmiotu oraz roku oceny;</w:t>
      </w:r>
    </w:p>
    <w:p w14:paraId="7255A641" w14:textId="77777777" w:rsidR="001A7966" w:rsidRPr="00BA4F7F" w:rsidRDefault="001A7966" w:rsidP="001A7966">
      <w:pPr>
        <w:pStyle w:val="Listapunktowana"/>
        <w:spacing w:after="40" w:line="259" w:lineRule="auto"/>
        <w:ind w:left="255" w:hanging="113"/>
        <w:jc w:val="left"/>
      </w:pPr>
      <w:r w:rsidRPr="00BA4F7F">
        <w:t>analizę stanu faktycznego i dostępnych dowodów;</w:t>
      </w:r>
    </w:p>
    <w:p w14:paraId="5AD8042C" w14:textId="77777777" w:rsidR="001A7966" w:rsidRPr="00BA4F7F" w:rsidRDefault="001A7966" w:rsidP="001A7966">
      <w:pPr>
        <w:pStyle w:val="Listapunktowana"/>
        <w:spacing w:after="40" w:line="259" w:lineRule="auto"/>
        <w:ind w:left="255" w:hanging="113"/>
        <w:jc w:val="left"/>
      </w:pPr>
      <w:r w:rsidRPr="00BA4F7F">
        <w:t>przyznanie punktów w kryteriach cząstkowych;</w:t>
      </w:r>
    </w:p>
    <w:p w14:paraId="2C24EFDE" w14:textId="77777777" w:rsidR="001A7966" w:rsidRPr="00BA4F7F" w:rsidRDefault="001A7966" w:rsidP="001A7966">
      <w:pPr>
        <w:pStyle w:val="Listapunktowana"/>
        <w:spacing w:after="40" w:line="259" w:lineRule="auto"/>
        <w:ind w:left="255" w:hanging="113"/>
        <w:jc w:val="left"/>
      </w:pPr>
      <w:r w:rsidRPr="00BA4F7F">
        <w:t>komentarz uzasadniający ocenę;</w:t>
      </w:r>
    </w:p>
    <w:p w14:paraId="2012CFFF" w14:textId="77777777" w:rsidR="001A7966" w:rsidRPr="00BA4F7F" w:rsidRDefault="001A7966" w:rsidP="001A7966">
      <w:pPr>
        <w:pStyle w:val="Listapunktowana"/>
        <w:spacing w:after="40" w:line="259" w:lineRule="auto"/>
        <w:ind w:left="255" w:hanging="113"/>
        <w:jc w:val="left"/>
      </w:pPr>
      <w:r w:rsidRPr="00BA4F7F">
        <w:t>agregację kryteriów;</w:t>
      </w:r>
    </w:p>
    <w:p w14:paraId="0CC233E5" w14:textId="77777777" w:rsidR="001A7966" w:rsidRPr="00BA4F7F" w:rsidRDefault="001A7966" w:rsidP="001A7966">
      <w:pPr>
        <w:pStyle w:val="Listapunktowana"/>
        <w:spacing w:after="40" w:line="259" w:lineRule="auto"/>
        <w:ind w:left="255" w:hanging="113"/>
        <w:jc w:val="left"/>
      </w:pPr>
      <w:r w:rsidRPr="00BA4F7F">
        <w:t>syntetyczne wyjaśnienie wyniku rocznego.</w:t>
      </w:r>
    </w:p>
    <w:p w14:paraId="114D8BE5" w14:textId="77777777" w:rsidR="001A7966" w:rsidRPr="00BA4F7F" w:rsidRDefault="001A7966" w:rsidP="001A7966">
      <w:r w:rsidRPr="00BA4F7F">
        <w:t>W Projektach strategicznych ocenie podlegają efekt strategiczny, harmonogram, integralność zakresu oraz zarządzanie. W Ładzie instytucjonalnym kryteria odnoszą się do stanu lub adekwatności, ciągłości działania lub wdrożenia, spójności i efektu oraz egzekucji, kontroli i korekty. Moduł ekspercki nie polega więc na swobodnej ocenie ogólnej, lecz na uporządkowanej punktacji opartej na stałej rubryce, komentarzu i materiale dowodowym.</w:t>
      </w:r>
    </w:p>
    <w:p w14:paraId="66FC9067" w14:textId="77777777" w:rsidR="001A7966" w:rsidRPr="00BA4F7F" w:rsidRDefault="001A7966" w:rsidP="001A7966">
      <w:r w:rsidRPr="00BA4F7F">
        <w:t>Oba moduły prowadzą do wyniku w skali 0–100 pkt, ale punktacja zachowuje znaczenie właściwe dla konkretnego wskaźnika lub kryterium. Różnica jednego punktu nie musi zatem oznaczać identycznej zmiany jakościowej w demografii, finansach publicznych, projekcie infrastrukturalnym i ładzie instytucjonalnym. Porównywalna jest pozycja komponentów na wspólnej skali strategicznej, a nie ich pierwotne jednostki pomiaru.</w:t>
      </w:r>
    </w:p>
    <w:p w14:paraId="023CB2D0" w14:textId="77777777" w:rsidR="001A7966" w:rsidRPr="00BA4F7F" w:rsidRDefault="001A7966" w:rsidP="001A7966">
      <w:pPr>
        <w:pStyle w:val="IRSHeading2"/>
        <w:keepLines/>
        <w:rPr>
          <w:lang w:val="pl-PL"/>
        </w:rPr>
      </w:pPr>
      <w:r w:rsidRPr="00BA4F7F">
        <w:rPr>
          <w:lang w:val="pl-PL"/>
        </w:rPr>
        <w:t>Wagi i agregacja</w:t>
      </w:r>
    </w:p>
    <w:p w14:paraId="6DA47E8C" w14:textId="77777777" w:rsidR="001A7966" w:rsidRPr="00BA4F7F" w:rsidRDefault="001A7966" w:rsidP="001A7966">
      <w:r w:rsidRPr="00BA4F7F">
        <w:t>Wyniki IRS są obliczane metodą średnich ważonych. Na każdym poziomie wagi sumują się do 100%, a wynik wyższego poziomu jest agregacją komponentów poziomu niższego.</w:t>
      </w:r>
    </w:p>
    <w:tbl>
      <w:tblPr>
        <w:tblW w:w="0" w:type="auto"/>
        <w:jc w:val="center"/>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Layout w:type="fixed"/>
        <w:tblLook w:val="04A0" w:firstRow="1" w:lastRow="0" w:firstColumn="1" w:lastColumn="0" w:noHBand="0" w:noVBand="1"/>
      </w:tblPr>
      <w:tblGrid>
        <w:gridCol w:w="3969"/>
        <w:gridCol w:w="2721"/>
        <w:gridCol w:w="2721"/>
      </w:tblGrid>
      <w:tr w:rsidR="001A7966" w:rsidRPr="00BA4F7F" w14:paraId="79CCD486" w14:textId="77777777" w:rsidTr="008E56FA">
        <w:trPr>
          <w:cantSplit/>
          <w:tblHeader/>
          <w:jc w:val="center"/>
        </w:trPr>
        <w:tc>
          <w:tcPr>
            <w:tcW w:w="3969" w:type="dxa"/>
            <w:shd w:val="clear" w:color="auto" w:fill="1F4E79"/>
            <w:tcMar>
              <w:top w:w="80" w:type="dxa"/>
              <w:left w:w="100" w:type="dxa"/>
              <w:bottom w:w="80" w:type="dxa"/>
              <w:right w:w="100" w:type="dxa"/>
            </w:tcMar>
            <w:vAlign w:val="center"/>
          </w:tcPr>
          <w:p w14:paraId="5A97A869" w14:textId="77777777" w:rsidR="001A7966" w:rsidRPr="00BA4F7F" w:rsidRDefault="001A7966" w:rsidP="008E56FA">
            <w:pPr>
              <w:spacing w:after="0" w:line="240" w:lineRule="auto"/>
              <w:jc w:val="center"/>
            </w:pPr>
            <w:r w:rsidRPr="00BA4F7F">
              <w:rPr>
                <w:rFonts w:ascii="Aptos" w:hAnsi="Aptos"/>
                <w:b/>
                <w:color w:val="FFFFFF"/>
                <w:sz w:val="17"/>
              </w:rPr>
              <w:t>Element</w:t>
            </w:r>
          </w:p>
        </w:tc>
        <w:tc>
          <w:tcPr>
            <w:tcW w:w="2721" w:type="dxa"/>
            <w:shd w:val="clear" w:color="auto" w:fill="1F4E79"/>
            <w:tcMar>
              <w:top w:w="80" w:type="dxa"/>
              <w:left w:w="100" w:type="dxa"/>
              <w:bottom w:w="80" w:type="dxa"/>
              <w:right w:w="100" w:type="dxa"/>
            </w:tcMar>
            <w:vAlign w:val="center"/>
          </w:tcPr>
          <w:p w14:paraId="0724B61D" w14:textId="77777777" w:rsidR="001A7966" w:rsidRPr="00BA4F7F" w:rsidRDefault="001A7966" w:rsidP="008E56FA">
            <w:pPr>
              <w:spacing w:after="0" w:line="240" w:lineRule="auto"/>
              <w:jc w:val="center"/>
            </w:pPr>
            <w:r w:rsidRPr="00BA4F7F">
              <w:rPr>
                <w:rFonts w:ascii="Aptos" w:hAnsi="Aptos"/>
                <w:b/>
                <w:color w:val="FFFFFF"/>
                <w:sz w:val="17"/>
              </w:rPr>
              <w:t>Waga w poziomie nadrzędnym</w:t>
            </w:r>
          </w:p>
        </w:tc>
        <w:tc>
          <w:tcPr>
            <w:tcW w:w="2721" w:type="dxa"/>
            <w:shd w:val="clear" w:color="auto" w:fill="1F4E79"/>
            <w:tcMar>
              <w:top w:w="80" w:type="dxa"/>
              <w:left w:w="100" w:type="dxa"/>
              <w:bottom w:w="80" w:type="dxa"/>
              <w:right w:w="100" w:type="dxa"/>
            </w:tcMar>
            <w:vAlign w:val="center"/>
          </w:tcPr>
          <w:p w14:paraId="266B3494" w14:textId="77777777" w:rsidR="001A7966" w:rsidRPr="00BA4F7F" w:rsidRDefault="001A7966" w:rsidP="008E56FA">
            <w:pPr>
              <w:spacing w:after="0" w:line="240" w:lineRule="auto"/>
              <w:jc w:val="center"/>
            </w:pPr>
            <w:r w:rsidRPr="00BA4F7F">
              <w:rPr>
                <w:rFonts w:ascii="Aptos" w:hAnsi="Aptos"/>
                <w:b/>
                <w:color w:val="FFFFFF"/>
                <w:sz w:val="17"/>
              </w:rPr>
              <w:t>Efektywna waga w IRS</w:t>
            </w:r>
          </w:p>
        </w:tc>
      </w:tr>
      <w:tr w:rsidR="001A7966" w:rsidRPr="00BA4F7F" w14:paraId="2F55BB5F" w14:textId="77777777" w:rsidTr="008E56FA">
        <w:trPr>
          <w:cantSplit/>
          <w:jc w:val="center"/>
        </w:trPr>
        <w:tc>
          <w:tcPr>
            <w:tcW w:w="3969" w:type="dxa"/>
            <w:shd w:val="clear" w:color="auto" w:fill="FFFFFF"/>
            <w:tcMar>
              <w:top w:w="80" w:type="dxa"/>
              <w:left w:w="100" w:type="dxa"/>
              <w:bottom w:w="80" w:type="dxa"/>
              <w:right w:w="100" w:type="dxa"/>
            </w:tcMar>
            <w:vAlign w:val="center"/>
          </w:tcPr>
          <w:p w14:paraId="420212D0" w14:textId="77777777" w:rsidR="001A7966" w:rsidRPr="00BA4F7F" w:rsidRDefault="001A7966" w:rsidP="008E56FA">
            <w:pPr>
              <w:spacing w:after="0" w:line="240" w:lineRule="auto"/>
            </w:pPr>
            <w:r w:rsidRPr="00BA4F7F">
              <w:rPr>
                <w:rFonts w:ascii="Aptos" w:hAnsi="Aptos"/>
                <w:b/>
                <w:color w:val="222222"/>
                <w:sz w:val="17"/>
              </w:rPr>
              <w:t>Filar I – Kondycja systemowa</w:t>
            </w:r>
          </w:p>
        </w:tc>
        <w:tc>
          <w:tcPr>
            <w:tcW w:w="2721" w:type="dxa"/>
            <w:shd w:val="clear" w:color="auto" w:fill="FFFFFF"/>
            <w:tcMar>
              <w:top w:w="80" w:type="dxa"/>
              <w:left w:w="100" w:type="dxa"/>
              <w:bottom w:w="80" w:type="dxa"/>
              <w:right w:w="100" w:type="dxa"/>
            </w:tcMar>
            <w:vAlign w:val="center"/>
          </w:tcPr>
          <w:p w14:paraId="64989266" w14:textId="77777777" w:rsidR="001A7966" w:rsidRPr="00BA4F7F" w:rsidRDefault="001A7966" w:rsidP="008E56FA">
            <w:pPr>
              <w:spacing w:after="0" w:line="240" w:lineRule="auto"/>
              <w:jc w:val="center"/>
            </w:pPr>
            <w:r w:rsidRPr="00BA4F7F">
              <w:rPr>
                <w:rFonts w:ascii="Aptos" w:hAnsi="Aptos"/>
                <w:color w:val="222222"/>
                <w:sz w:val="17"/>
              </w:rPr>
              <w:t>60%</w:t>
            </w:r>
          </w:p>
        </w:tc>
        <w:tc>
          <w:tcPr>
            <w:tcW w:w="2721" w:type="dxa"/>
            <w:shd w:val="clear" w:color="auto" w:fill="FFFFFF"/>
            <w:tcMar>
              <w:top w:w="80" w:type="dxa"/>
              <w:left w:w="100" w:type="dxa"/>
              <w:bottom w:w="80" w:type="dxa"/>
              <w:right w:w="100" w:type="dxa"/>
            </w:tcMar>
            <w:vAlign w:val="center"/>
          </w:tcPr>
          <w:p w14:paraId="4C352EEB" w14:textId="77777777" w:rsidR="001A7966" w:rsidRPr="00BA4F7F" w:rsidRDefault="001A7966" w:rsidP="008E56FA">
            <w:pPr>
              <w:spacing w:after="0" w:line="240" w:lineRule="auto"/>
              <w:jc w:val="center"/>
            </w:pPr>
            <w:r w:rsidRPr="00BA4F7F">
              <w:rPr>
                <w:rFonts w:ascii="Aptos" w:hAnsi="Aptos"/>
                <w:color w:val="222222"/>
                <w:sz w:val="17"/>
              </w:rPr>
              <w:t>60%</w:t>
            </w:r>
          </w:p>
        </w:tc>
      </w:tr>
      <w:tr w:rsidR="001A7966" w:rsidRPr="00BA4F7F" w14:paraId="42FDBFA2" w14:textId="77777777" w:rsidTr="008E56FA">
        <w:trPr>
          <w:cantSplit/>
          <w:jc w:val="center"/>
        </w:trPr>
        <w:tc>
          <w:tcPr>
            <w:tcW w:w="3969" w:type="dxa"/>
            <w:shd w:val="clear" w:color="auto" w:fill="EEF5FA"/>
            <w:tcMar>
              <w:top w:w="80" w:type="dxa"/>
              <w:left w:w="100" w:type="dxa"/>
              <w:bottom w:w="80" w:type="dxa"/>
              <w:right w:w="100" w:type="dxa"/>
            </w:tcMar>
            <w:vAlign w:val="center"/>
          </w:tcPr>
          <w:p w14:paraId="070208BA" w14:textId="77777777" w:rsidR="001A7966" w:rsidRPr="00BA4F7F" w:rsidRDefault="001A7966" w:rsidP="008E56FA">
            <w:pPr>
              <w:spacing w:after="0" w:line="240" w:lineRule="auto"/>
            </w:pPr>
            <w:r w:rsidRPr="00BA4F7F">
              <w:rPr>
                <w:rFonts w:ascii="Aptos" w:hAnsi="Aptos"/>
                <w:b/>
                <w:color w:val="222222"/>
                <w:sz w:val="17"/>
              </w:rPr>
              <w:t>Filar II – Strategia i państwo</w:t>
            </w:r>
          </w:p>
        </w:tc>
        <w:tc>
          <w:tcPr>
            <w:tcW w:w="2721" w:type="dxa"/>
            <w:shd w:val="clear" w:color="auto" w:fill="EEF5FA"/>
            <w:tcMar>
              <w:top w:w="80" w:type="dxa"/>
              <w:left w:w="100" w:type="dxa"/>
              <w:bottom w:w="80" w:type="dxa"/>
              <w:right w:w="100" w:type="dxa"/>
            </w:tcMar>
            <w:vAlign w:val="center"/>
          </w:tcPr>
          <w:p w14:paraId="7415798B" w14:textId="77777777" w:rsidR="001A7966" w:rsidRPr="00BA4F7F" w:rsidRDefault="001A7966" w:rsidP="008E56FA">
            <w:pPr>
              <w:spacing w:after="0" w:line="240" w:lineRule="auto"/>
              <w:jc w:val="center"/>
            </w:pPr>
            <w:r w:rsidRPr="00BA4F7F">
              <w:rPr>
                <w:rFonts w:ascii="Aptos" w:hAnsi="Aptos"/>
                <w:color w:val="222222"/>
                <w:sz w:val="17"/>
              </w:rPr>
              <w:t>40%</w:t>
            </w:r>
          </w:p>
        </w:tc>
        <w:tc>
          <w:tcPr>
            <w:tcW w:w="2721" w:type="dxa"/>
            <w:shd w:val="clear" w:color="auto" w:fill="EEF5FA"/>
            <w:tcMar>
              <w:top w:w="80" w:type="dxa"/>
              <w:left w:w="100" w:type="dxa"/>
              <w:bottom w:w="80" w:type="dxa"/>
              <w:right w:w="100" w:type="dxa"/>
            </w:tcMar>
            <w:vAlign w:val="center"/>
          </w:tcPr>
          <w:p w14:paraId="76E4CF9D" w14:textId="77777777" w:rsidR="001A7966" w:rsidRPr="00BA4F7F" w:rsidRDefault="001A7966" w:rsidP="008E56FA">
            <w:pPr>
              <w:spacing w:after="0" w:line="240" w:lineRule="auto"/>
              <w:jc w:val="center"/>
            </w:pPr>
            <w:r w:rsidRPr="00BA4F7F">
              <w:rPr>
                <w:rFonts w:ascii="Aptos" w:hAnsi="Aptos"/>
                <w:color w:val="222222"/>
                <w:sz w:val="17"/>
              </w:rPr>
              <w:t>40%</w:t>
            </w:r>
          </w:p>
        </w:tc>
      </w:tr>
      <w:tr w:rsidR="001A7966" w:rsidRPr="00BA4F7F" w14:paraId="6610C844" w14:textId="77777777" w:rsidTr="008E56FA">
        <w:trPr>
          <w:cantSplit/>
          <w:jc w:val="center"/>
        </w:trPr>
        <w:tc>
          <w:tcPr>
            <w:tcW w:w="3969" w:type="dxa"/>
            <w:shd w:val="clear" w:color="auto" w:fill="FFFFFF"/>
            <w:tcMar>
              <w:top w:w="80" w:type="dxa"/>
              <w:left w:w="100" w:type="dxa"/>
              <w:bottom w:w="80" w:type="dxa"/>
              <w:right w:w="100" w:type="dxa"/>
            </w:tcMar>
            <w:vAlign w:val="center"/>
          </w:tcPr>
          <w:p w14:paraId="1BAD7E99" w14:textId="77777777" w:rsidR="001A7966" w:rsidRPr="00BA4F7F" w:rsidRDefault="001A7966" w:rsidP="008E56FA">
            <w:pPr>
              <w:spacing w:after="0" w:line="240" w:lineRule="auto"/>
            </w:pPr>
            <w:r w:rsidRPr="00BA4F7F">
              <w:rPr>
                <w:rFonts w:ascii="Aptos" w:hAnsi="Aptos"/>
                <w:b/>
                <w:color w:val="222222"/>
                <w:sz w:val="17"/>
              </w:rPr>
              <w:t xml:space="preserve">Każdy z czterech </w:t>
            </w:r>
            <w:proofErr w:type="spellStart"/>
            <w:r w:rsidRPr="00BA4F7F">
              <w:rPr>
                <w:rFonts w:ascii="Aptos" w:hAnsi="Aptos"/>
                <w:b/>
                <w:color w:val="222222"/>
                <w:sz w:val="17"/>
              </w:rPr>
              <w:t>subindeksów</w:t>
            </w:r>
            <w:proofErr w:type="spellEnd"/>
            <w:r w:rsidRPr="00BA4F7F">
              <w:rPr>
                <w:rFonts w:ascii="Aptos" w:hAnsi="Aptos"/>
                <w:b/>
                <w:color w:val="222222"/>
                <w:sz w:val="17"/>
              </w:rPr>
              <w:t xml:space="preserve"> Filara I</w:t>
            </w:r>
          </w:p>
        </w:tc>
        <w:tc>
          <w:tcPr>
            <w:tcW w:w="2721" w:type="dxa"/>
            <w:shd w:val="clear" w:color="auto" w:fill="FFFFFF"/>
            <w:tcMar>
              <w:top w:w="80" w:type="dxa"/>
              <w:left w:w="100" w:type="dxa"/>
              <w:bottom w:w="80" w:type="dxa"/>
              <w:right w:w="100" w:type="dxa"/>
            </w:tcMar>
            <w:vAlign w:val="center"/>
          </w:tcPr>
          <w:p w14:paraId="69DE77C4" w14:textId="77777777" w:rsidR="001A7966" w:rsidRPr="00BA4F7F" w:rsidRDefault="001A7966" w:rsidP="008E56FA">
            <w:pPr>
              <w:spacing w:after="0" w:line="240" w:lineRule="auto"/>
              <w:jc w:val="center"/>
            </w:pPr>
            <w:r w:rsidRPr="00BA4F7F">
              <w:rPr>
                <w:rFonts w:ascii="Aptos" w:hAnsi="Aptos"/>
                <w:color w:val="222222"/>
                <w:sz w:val="17"/>
              </w:rPr>
              <w:t>25% w Filarze I</w:t>
            </w:r>
          </w:p>
        </w:tc>
        <w:tc>
          <w:tcPr>
            <w:tcW w:w="2721" w:type="dxa"/>
            <w:shd w:val="clear" w:color="auto" w:fill="FFFFFF"/>
            <w:tcMar>
              <w:top w:w="80" w:type="dxa"/>
              <w:left w:w="100" w:type="dxa"/>
              <w:bottom w:w="80" w:type="dxa"/>
              <w:right w:w="100" w:type="dxa"/>
            </w:tcMar>
            <w:vAlign w:val="center"/>
          </w:tcPr>
          <w:p w14:paraId="16A57F49" w14:textId="77777777" w:rsidR="001A7966" w:rsidRPr="00BA4F7F" w:rsidRDefault="001A7966" w:rsidP="008E56FA">
            <w:pPr>
              <w:spacing w:after="0" w:line="240" w:lineRule="auto"/>
              <w:jc w:val="center"/>
            </w:pPr>
            <w:r w:rsidRPr="00BA4F7F">
              <w:rPr>
                <w:rFonts w:ascii="Aptos" w:hAnsi="Aptos"/>
                <w:color w:val="222222"/>
                <w:sz w:val="17"/>
              </w:rPr>
              <w:t>15%</w:t>
            </w:r>
          </w:p>
        </w:tc>
      </w:tr>
      <w:tr w:rsidR="001A7966" w:rsidRPr="00BA4F7F" w14:paraId="6C25AB27" w14:textId="77777777" w:rsidTr="008E56FA">
        <w:trPr>
          <w:cantSplit/>
          <w:jc w:val="center"/>
        </w:trPr>
        <w:tc>
          <w:tcPr>
            <w:tcW w:w="3969" w:type="dxa"/>
            <w:shd w:val="clear" w:color="auto" w:fill="EEF5FA"/>
            <w:tcMar>
              <w:top w:w="80" w:type="dxa"/>
              <w:left w:w="100" w:type="dxa"/>
              <w:bottom w:w="80" w:type="dxa"/>
              <w:right w:w="100" w:type="dxa"/>
            </w:tcMar>
            <w:vAlign w:val="center"/>
          </w:tcPr>
          <w:p w14:paraId="2CDFD41D" w14:textId="77777777" w:rsidR="001A7966" w:rsidRPr="00BA4F7F" w:rsidRDefault="001A7966" w:rsidP="008E56FA">
            <w:pPr>
              <w:spacing w:after="0" w:line="240" w:lineRule="auto"/>
            </w:pPr>
            <w:r w:rsidRPr="00BA4F7F">
              <w:rPr>
                <w:rFonts w:ascii="Aptos" w:hAnsi="Aptos"/>
                <w:b/>
                <w:color w:val="222222"/>
                <w:sz w:val="17"/>
              </w:rPr>
              <w:t>Projekty strategiczne</w:t>
            </w:r>
          </w:p>
        </w:tc>
        <w:tc>
          <w:tcPr>
            <w:tcW w:w="2721" w:type="dxa"/>
            <w:shd w:val="clear" w:color="auto" w:fill="EEF5FA"/>
            <w:tcMar>
              <w:top w:w="80" w:type="dxa"/>
              <w:left w:w="100" w:type="dxa"/>
              <w:bottom w:w="80" w:type="dxa"/>
              <w:right w:w="100" w:type="dxa"/>
            </w:tcMar>
            <w:vAlign w:val="center"/>
          </w:tcPr>
          <w:p w14:paraId="21D9163B" w14:textId="77777777" w:rsidR="001A7966" w:rsidRPr="00BA4F7F" w:rsidRDefault="001A7966" w:rsidP="008E56FA">
            <w:pPr>
              <w:spacing w:after="0" w:line="240" w:lineRule="auto"/>
              <w:jc w:val="center"/>
            </w:pPr>
            <w:r w:rsidRPr="00BA4F7F">
              <w:rPr>
                <w:rFonts w:ascii="Aptos" w:hAnsi="Aptos"/>
                <w:color w:val="222222"/>
                <w:sz w:val="17"/>
              </w:rPr>
              <w:t>50% w Filarze II</w:t>
            </w:r>
          </w:p>
        </w:tc>
        <w:tc>
          <w:tcPr>
            <w:tcW w:w="2721" w:type="dxa"/>
            <w:shd w:val="clear" w:color="auto" w:fill="EEF5FA"/>
            <w:tcMar>
              <w:top w:w="80" w:type="dxa"/>
              <w:left w:w="100" w:type="dxa"/>
              <w:bottom w:w="80" w:type="dxa"/>
              <w:right w:w="100" w:type="dxa"/>
            </w:tcMar>
            <w:vAlign w:val="center"/>
          </w:tcPr>
          <w:p w14:paraId="2036AA08" w14:textId="77777777" w:rsidR="001A7966" w:rsidRPr="00BA4F7F" w:rsidRDefault="001A7966" w:rsidP="008E56FA">
            <w:pPr>
              <w:spacing w:after="0" w:line="240" w:lineRule="auto"/>
              <w:jc w:val="center"/>
            </w:pPr>
            <w:r w:rsidRPr="00BA4F7F">
              <w:rPr>
                <w:rFonts w:ascii="Aptos" w:hAnsi="Aptos"/>
                <w:color w:val="222222"/>
                <w:sz w:val="17"/>
              </w:rPr>
              <w:t>20%</w:t>
            </w:r>
          </w:p>
        </w:tc>
      </w:tr>
      <w:tr w:rsidR="001A7966" w:rsidRPr="00BA4F7F" w14:paraId="629A9F1E" w14:textId="77777777" w:rsidTr="008E56FA">
        <w:trPr>
          <w:cantSplit/>
          <w:jc w:val="center"/>
        </w:trPr>
        <w:tc>
          <w:tcPr>
            <w:tcW w:w="3969" w:type="dxa"/>
            <w:shd w:val="clear" w:color="auto" w:fill="FFFFFF"/>
            <w:tcMar>
              <w:top w:w="80" w:type="dxa"/>
              <w:left w:w="100" w:type="dxa"/>
              <w:bottom w:w="80" w:type="dxa"/>
              <w:right w:w="100" w:type="dxa"/>
            </w:tcMar>
            <w:vAlign w:val="center"/>
          </w:tcPr>
          <w:p w14:paraId="7C23E47C" w14:textId="77777777" w:rsidR="001A7966" w:rsidRPr="00BA4F7F" w:rsidRDefault="001A7966" w:rsidP="008E56FA">
            <w:pPr>
              <w:spacing w:after="0" w:line="240" w:lineRule="auto"/>
            </w:pPr>
            <w:r w:rsidRPr="00BA4F7F">
              <w:rPr>
                <w:rFonts w:ascii="Aptos" w:hAnsi="Aptos"/>
                <w:b/>
                <w:color w:val="222222"/>
                <w:sz w:val="17"/>
              </w:rPr>
              <w:t>Ład instytucjonalny</w:t>
            </w:r>
          </w:p>
        </w:tc>
        <w:tc>
          <w:tcPr>
            <w:tcW w:w="2721" w:type="dxa"/>
            <w:shd w:val="clear" w:color="auto" w:fill="FFFFFF"/>
            <w:tcMar>
              <w:top w:w="80" w:type="dxa"/>
              <w:left w:w="100" w:type="dxa"/>
              <w:bottom w:w="80" w:type="dxa"/>
              <w:right w:w="100" w:type="dxa"/>
            </w:tcMar>
            <w:vAlign w:val="center"/>
          </w:tcPr>
          <w:p w14:paraId="080169DA" w14:textId="77777777" w:rsidR="001A7966" w:rsidRPr="00BA4F7F" w:rsidRDefault="001A7966" w:rsidP="008E56FA">
            <w:pPr>
              <w:spacing w:after="0" w:line="240" w:lineRule="auto"/>
              <w:jc w:val="center"/>
            </w:pPr>
            <w:r w:rsidRPr="00BA4F7F">
              <w:rPr>
                <w:rFonts w:ascii="Aptos" w:hAnsi="Aptos"/>
                <w:color w:val="222222"/>
                <w:sz w:val="17"/>
              </w:rPr>
              <w:t>50% w Filarze II</w:t>
            </w:r>
          </w:p>
        </w:tc>
        <w:tc>
          <w:tcPr>
            <w:tcW w:w="2721" w:type="dxa"/>
            <w:shd w:val="clear" w:color="auto" w:fill="FFFFFF"/>
            <w:tcMar>
              <w:top w:w="80" w:type="dxa"/>
              <w:left w:w="100" w:type="dxa"/>
              <w:bottom w:w="80" w:type="dxa"/>
              <w:right w:w="100" w:type="dxa"/>
            </w:tcMar>
            <w:vAlign w:val="center"/>
          </w:tcPr>
          <w:p w14:paraId="39468CF7" w14:textId="77777777" w:rsidR="001A7966" w:rsidRPr="00BA4F7F" w:rsidRDefault="001A7966" w:rsidP="008E56FA">
            <w:pPr>
              <w:spacing w:after="0" w:line="240" w:lineRule="auto"/>
              <w:jc w:val="center"/>
            </w:pPr>
            <w:r w:rsidRPr="00BA4F7F">
              <w:rPr>
                <w:rFonts w:ascii="Aptos" w:hAnsi="Aptos"/>
                <w:color w:val="222222"/>
                <w:sz w:val="17"/>
              </w:rPr>
              <w:t>20%</w:t>
            </w:r>
          </w:p>
        </w:tc>
      </w:tr>
    </w:tbl>
    <w:p w14:paraId="60D7355C" w14:textId="77777777" w:rsidR="001A7966" w:rsidRPr="00BA4F7F" w:rsidRDefault="001A7966" w:rsidP="001A7966">
      <w:pPr>
        <w:spacing w:after="0"/>
      </w:pPr>
    </w:p>
    <w:p w14:paraId="3B27071A" w14:textId="77777777" w:rsidR="001A7966" w:rsidRPr="00BA4F7F" w:rsidRDefault="001A7966" w:rsidP="001A7966">
      <w:r w:rsidRPr="00BA4F7F">
        <w:t>Waga 60% dla Kondycji systemowej i 40% dla Strategii i państwa jest decyzją normatywno-strategiczną zapisaną w modelu. Oznacza ona, że większą część wyniku głównego stanowi ocena podstawowych zasobów gospodarczych, bezpieczeństwa, demografii i spójności społecznej, przy jednoczesnym zachowaniu wysokiej – łącznie czterdziestoprocentowej – wagi zdolności projektowej oraz jakości instytucji.</w:t>
      </w:r>
    </w:p>
    <w:p w14:paraId="634853E0" w14:textId="77777777" w:rsidR="001A7966" w:rsidRPr="00BA4F7F" w:rsidRDefault="001A7966" w:rsidP="001A7966">
      <w:r w:rsidRPr="00BA4F7F">
        <w:t>Wagi nie odzwierciedlają udziału wydatków publicznych ani wartości finansowej poszczególnych obszarów. Wyrażają ich znaczenie w architekturze IRS. Ich zmiana wymaga uzasadnienia, testu wpływu na wyniki historyczne i nowej wersji metodologii; nie może być dokonywana wyłącznie w celu uzyskania korzystniejszego wyniku.</w:t>
      </w:r>
    </w:p>
    <w:p w14:paraId="68C693A3" w14:textId="77777777" w:rsidR="001A7966" w:rsidRPr="00BA4F7F" w:rsidRDefault="001A7966" w:rsidP="001A7966">
      <w:pPr>
        <w:pStyle w:val="IRSHeading2"/>
        <w:keepLines/>
        <w:rPr>
          <w:lang w:val="pl-PL"/>
        </w:rPr>
      </w:pPr>
      <w:r w:rsidRPr="00BA4F7F">
        <w:rPr>
          <w:lang w:val="pl-PL"/>
        </w:rPr>
        <w:t>Podstawowe zasady metodologiczne modelu IRS</w:t>
      </w:r>
    </w:p>
    <w:tbl>
      <w:tblPr>
        <w:tblW w:w="0" w:type="auto"/>
        <w:jc w:val="center"/>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Layout w:type="fixed"/>
        <w:tblLook w:val="04A0" w:firstRow="1" w:lastRow="0" w:firstColumn="1" w:lastColumn="0" w:noHBand="0" w:noVBand="1"/>
      </w:tblPr>
      <w:tblGrid>
        <w:gridCol w:w="2381"/>
        <w:gridCol w:w="7030"/>
      </w:tblGrid>
      <w:tr w:rsidR="001A7966" w:rsidRPr="00BA4F7F" w14:paraId="5A480287" w14:textId="77777777" w:rsidTr="008E56FA">
        <w:trPr>
          <w:cantSplit/>
          <w:tblHeader/>
          <w:jc w:val="center"/>
        </w:trPr>
        <w:tc>
          <w:tcPr>
            <w:tcW w:w="2381" w:type="dxa"/>
            <w:shd w:val="clear" w:color="auto" w:fill="1F4E79"/>
            <w:tcMar>
              <w:top w:w="80" w:type="dxa"/>
              <w:left w:w="100" w:type="dxa"/>
              <w:bottom w:w="80" w:type="dxa"/>
              <w:right w:w="100" w:type="dxa"/>
            </w:tcMar>
            <w:vAlign w:val="center"/>
          </w:tcPr>
          <w:p w14:paraId="251AB732" w14:textId="77777777" w:rsidR="001A7966" w:rsidRPr="00BA4F7F" w:rsidRDefault="001A7966" w:rsidP="008E56FA">
            <w:pPr>
              <w:spacing w:after="0" w:line="240" w:lineRule="auto"/>
              <w:jc w:val="center"/>
            </w:pPr>
            <w:r w:rsidRPr="00BA4F7F">
              <w:rPr>
                <w:rFonts w:ascii="Aptos" w:hAnsi="Aptos"/>
                <w:b/>
                <w:color w:val="FFFFFF"/>
                <w:sz w:val="17"/>
              </w:rPr>
              <w:t>Zasada</w:t>
            </w:r>
          </w:p>
        </w:tc>
        <w:tc>
          <w:tcPr>
            <w:tcW w:w="7030" w:type="dxa"/>
            <w:shd w:val="clear" w:color="auto" w:fill="1F4E79"/>
            <w:tcMar>
              <w:top w:w="80" w:type="dxa"/>
              <w:left w:w="100" w:type="dxa"/>
              <w:bottom w:w="80" w:type="dxa"/>
              <w:right w:w="100" w:type="dxa"/>
            </w:tcMar>
            <w:vAlign w:val="center"/>
          </w:tcPr>
          <w:p w14:paraId="0CF2D0FC" w14:textId="77777777" w:rsidR="001A7966" w:rsidRPr="00BA4F7F" w:rsidRDefault="001A7966" w:rsidP="008E56FA">
            <w:pPr>
              <w:spacing w:after="0" w:line="240" w:lineRule="auto"/>
              <w:jc w:val="center"/>
            </w:pPr>
            <w:r w:rsidRPr="00BA4F7F">
              <w:rPr>
                <w:rFonts w:ascii="Aptos" w:hAnsi="Aptos"/>
                <w:b/>
                <w:color w:val="FFFFFF"/>
                <w:sz w:val="17"/>
              </w:rPr>
              <w:t>Znaczenie praktyczne</w:t>
            </w:r>
          </w:p>
        </w:tc>
      </w:tr>
      <w:tr w:rsidR="001A7966" w:rsidRPr="00BA4F7F" w14:paraId="2B21428E" w14:textId="77777777" w:rsidTr="008E56FA">
        <w:trPr>
          <w:cantSplit/>
          <w:jc w:val="center"/>
        </w:trPr>
        <w:tc>
          <w:tcPr>
            <w:tcW w:w="2381" w:type="dxa"/>
            <w:shd w:val="clear" w:color="auto" w:fill="FFFFFF"/>
            <w:tcMar>
              <w:top w:w="80" w:type="dxa"/>
              <w:left w:w="100" w:type="dxa"/>
              <w:bottom w:w="80" w:type="dxa"/>
              <w:right w:w="100" w:type="dxa"/>
            </w:tcMar>
            <w:vAlign w:val="center"/>
          </w:tcPr>
          <w:p w14:paraId="1795CA9D" w14:textId="77777777" w:rsidR="001A7966" w:rsidRPr="00BA4F7F" w:rsidRDefault="001A7966" w:rsidP="008E56FA">
            <w:pPr>
              <w:spacing w:after="0" w:line="240" w:lineRule="auto"/>
            </w:pPr>
            <w:r w:rsidRPr="00BA4F7F">
              <w:rPr>
                <w:rFonts w:ascii="Aptos" w:hAnsi="Aptos"/>
                <w:b/>
                <w:color w:val="222222"/>
                <w:sz w:val="17"/>
              </w:rPr>
              <w:t>Jawność</w:t>
            </w:r>
          </w:p>
        </w:tc>
        <w:tc>
          <w:tcPr>
            <w:tcW w:w="7030" w:type="dxa"/>
            <w:shd w:val="clear" w:color="auto" w:fill="FFFFFF"/>
            <w:tcMar>
              <w:top w:w="80" w:type="dxa"/>
              <w:left w:w="100" w:type="dxa"/>
              <w:bottom w:w="80" w:type="dxa"/>
              <w:right w:w="100" w:type="dxa"/>
            </w:tcMar>
            <w:vAlign w:val="center"/>
          </w:tcPr>
          <w:p w14:paraId="688AAD25" w14:textId="77777777" w:rsidR="001A7966" w:rsidRPr="00BA4F7F" w:rsidRDefault="001A7966" w:rsidP="008E56FA">
            <w:pPr>
              <w:spacing w:after="0" w:line="240" w:lineRule="auto"/>
            </w:pPr>
            <w:r w:rsidRPr="00BA4F7F">
              <w:rPr>
                <w:rFonts w:ascii="Aptos" w:hAnsi="Aptos"/>
                <w:color w:val="222222"/>
                <w:sz w:val="17"/>
              </w:rPr>
              <w:t>Każdy komponent ma definicję, jednostkę, kierunek interpretacji, wagę, formułę albo rubrykę oceny oraz opis źródła.</w:t>
            </w:r>
          </w:p>
        </w:tc>
      </w:tr>
      <w:tr w:rsidR="001A7966" w:rsidRPr="00BA4F7F" w14:paraId="17D18E91" w14:textId="77777777" w:rsidTr="008E56FA">
        <w:trPr>
          <w:cantSplit/>
          <w:jc w:val="center"/>
        </w:trPr>
        <w:tc>
          <w:tcPr>
            <w:tcW w:w="2381" w:type="dxa"/>
            <w:shd w:val="clear" w:color="auto" w:fill="EEF5FA"/>
            <w:tcMar>
              <w:top w:w="80" w:type="dxa"/>
              <w:left w:w="100" w:type="dxa"/>
              <w:bottom w:w="80" w:type="dxa"/>
              <w:right w:w="100" w:type="dxa"/>
            </w:tcMar>
            <w:vAlign w:val="center"/>
          </w:tcPr>
          <w:p w14:paraId="3602FA75" w14:textId="77777777" w:rsidR="001A7966" w:rsidRPr="00BA4F7F" w:rsidRDefault="001A7966" w:rsidP="008E56FA">
            <w:pPr>
              <w:spacing w:after="0" w:line="240" w:lineRule="auto"/>
            </w:pPr>
            <w:r w:rsidRPr="00BA4F7F">
              <w:rPr>
                <w:rFonts w:ascii="Aptos" w:hAnsi="Aptos"/>
                <w:b/>
                <w:color w:val="222222"/>
                <w:sz w:val="17"/>
              </w:rPr>
              <w:lastRenderedPageBreak/>
              <w:t>Odtwarzalność</w:t>
            </w:r>
          </w:p>
        </w:tc>
        <w:tc>
          <w:tcPr>
            <w:tcW w:w="7030" w:type="dxa"/>
            <w:shd w:val="clear" w:color="auto" w:fill="EEF5FA"/>
            <w:tcMar>
              <w:top w:w="80" w:type="dxa"/>
              <w:left w:w="100" w:type="dxa"/>
              <w:bottom w:w="80" w:type="dxa"/>
              <w:right w:w="100" w:type="dxa"/>
            </w:tcMar>
            <w:vAlign w:val="center"/>
          </w:tcPr>
          <w:p w14:paraId="2B4F2F2D" w14:textId="77777777" w:rsidR="001A7966" w:rsidRPr="00BA4F7F" w:rsidRDefault="001A7966" w:rsidP="008E56FA">
            <w:pPr>
              <w:spacing w:after="0" w:line="240" w:lineRule="auto"/>
            </w:pPr>
            <w:r w:rsidRPr="00BA4F7F">
              <w:rPr>
                <w:rFonts w:ascii="Aptos" w:hAnsi="Aptos"/>
                <w:color w:val="222222"/>
                <w:sz w:val="17"/>
              </w:rPr>
              <w:t xml:space="preserve">Możliwe jest przejście od wartości źródłowej lub oceny kryterialnej do </w:t>
            </w:r>
            <w:proofErr w:type="spellStart"/>
            <w:r w:rsidRPr="00BA4F7F">
              <w:rPr>
                <w:rFonts w:ascii="Aptos" w:hAnsi="Aptos"/>
                <w:color w:val="222222"/>
                <w:sz w:val="17"/>
              </w:rPr>
              <w:t>subobszaru</w:t>
            </w:r>
            <w:proofErr w:type="spellEnd"/>
            <w:r w:rsidRPr="00BA4F7F">
              <w:rPr>
                <w:rFonts w:ascii="Aptos" w:hAnsi="Aptos"/>
                <w:color w:val="222222"/>
                <w:sz w:val="17"/>
              </w:rPr>
              <w:t xml:space="preserve">, </w:t>
            </w:r>
            <w:proofErr w:type="spellStart"/>
            <w:r w:rsidRPr="00BA4F7F">
              <w:rPr>
                <w:rFonts w:ascii="Aptos" w:hAnsi="Aptos"/>
                <w:color w:val="222222"/>
                <w:sz w:val="17"/>
              </w:rPr>
              <w:t>subindeksu</w:t>
            </w:r>
            <w:proofErr w:type="spellEnd"/>
            <w:r w:rsidRPr="00BA4F7F">
              <w:rPr>
                <w:rFonts w:ascii="Aptos" w:hAnsi="Aptos"/>
                <w:color w:val="222222"/>
                <w:sz w:val="17"/>
              </w:rPr>
              <w:t>, filaru i wyniku głównego.</w:t>
            </w:r>
          </w:p>
        </w:tc>
      </w:tr>
      <w:tr w:rsidR="001A7966" w:rsidRPr="00BA4F7F" w14:paraId="07B36616" w14:textId="77777777" w:rsidTr="008E56FA">
        <w:trPr>
          <w:cantSplit/>
          <w:jc w:val="center"/>
        </w:trPr>
        <w:tc>
          <w:tcPr>
            <w:tcW w:w="2381" w:type="dxa"/>
            <w:shd w:val="clear" w:color="auto" w:fill="FFFFFF"/>
            <w:tcMar>
              <w:top w:w="80" w:type="dxa"/>
              <w:left w:w="100" w:type="dxa"/>
              <w:bottom w:w="80" w:type="dxa"/>
              <w:right w:w="100" w:type="dxa"/>
            </w:tcMar>
            <w:vAlign w:val="center"/>
          </w:tcPr>
          <w:p w14:paraId="5D571383" w14:textId="77777777" w:rsidR="001A7966" w:rsidRPr="00BA4F7F" w:rsidRDefault="001A7966" w:rsidP="008E56FA">
            <w:pPr>
              <w:spacing w:after="0" w:line="240" w:lineRule="auto"/>
            </w:pPr>
            <w:r w:rsidRPr="00BA4F7F">
              <w:rPr>
                <w:rFonts w:ascii="Aptos" w:hAnsi="Aptos"/>
                <w:b/>
                <w:color w:val="222222"/>
                <w:sz w:val="17"/>
              </w:rPr>
              <w:t>Spójność</w:t>
            </w:r>
          </w:p>
        </w:tc>
        <w:tc>
          <w:tcPr>
            <w:tcW w:w="7030" w:type="dxa"/>
            <w:shd w:val="clear" w:color="auto" w:fill="FFFFFF"/>
            <w:tcMar>
              <w:top w:w="80" w:type="dxa"/>
              <w:left w:w="100" w:type="dxa"/>
              <w:bottom w:w="80" w:type="dxa"/>
              <w:right w:w="100" w:type="dxa"/>
            </w:tcMar>
            <w:vAlign w:val="center"/>
          </w:tcPr>
          <w:p w14:paraId="70946353" w14:textId="77777777" w:rsidR="001A7966" w:rsidRPr="00BA4F7F" w:rsidRDefault="001A7966" w:rsidP="008E56FA">
            <w:pPr>
              <w:spacing w:after="0" w:line="240" w:lineRule="auto"/>
            </w:pPr>
            <w:r w:rsidRPr="00BA4F7F">
              <w:rPr>
                <w:rFonts w:ascii="Aptos" w:hAnsi="Aptos"/>
                <w:color w:val="222222"/>
                <w:sz w:val="17"/>
              </w:rPr>
              <w:t>Wyniki są sprowadzane do skali 0–100 pkt, a wagi na każdym poziomie sumują się do 100%.</w:t>
            </w:r>
          </w:p>
        </w:tc>
      </w:tr>
      <w:tr w:rsidR="001A7966" w:rsidRPr="00BA4F7F" w14:paraId="3DE9D8B6" w14:textId="77777777" w:rsidTr="008E56FA">
        <w:trPr>
          <w:cantSplit/>
          <w:jc w:val="center"/>
        </w:trPr>
        <w:tc>
          <w:tcPr>
            <w:tcW w:w="2381" w:type="dxa"/>
            <w:shd w:val="clear" w:color="auto" w:fill="EEF5FA"/>
            <w:tcMar>
              <w:top w:w="80" w:type="dxa"/>
              <w:left w:w="100" w:type="dxa"/>
              <w:bottom w:w="80" w:type="dxa"/>
              <w:right w:w="100" w:type="dxa"/>
            </w:tcMar>
            <w:vAlign w:val="center"/>
          </w:tcPr>
          <w:p w14:paraId="08600215" w14:textId="77777777" w:rsidR="001A7966" w:rsidRPr="00BA4F7F" w:rsidRDefault="001A7966" w:rsidP="008E56FA">
            <w:pPr>
              <w:spacing w:after="0" w:line="240" w:lineRule="auto"/>
            </w:pPr>
            <w:r w:rsidRPr="00BA4F7F">
              <w:rPr>
                <w:rFonts w:ascii="Aptos" w:hAnsi="Aptos"/>
                <w:b/>
                <w:color w:val="222222"/>
                <w:sz w:val="17"/>
              </w:rPr>
              <w:t>Stabilność</w:t>
            </w:r>
          </w:p>
        </w:tc>
        <w:tc>
          <w:tcPr>
            <w:tcW w:w="7030" w:type="dxa"/>
            <w:shd w:val="clear" w:color="auto" w:fill="EEF5FA"/>
            <w:tcMar>
              <w:top w:w="80" w:type="dxa"/>
              <w:left w:w="100" w:type="dxa"/>
              <w:bottom w:w="80" w:type="dxa"/>
              <w:right w:w="100" w:type="dxa"/>
            </w:tcMar>
            <w:vAlign w:val="center"/>
          </w:tcPr>
          <w:p w14:paraId="663C99EC" w14:textId="77777777" w:rsidR="001A7966" w:rsidRPr="00BA4F7F" w:rsidRDefault="001A7966" w:rsidP="008E56FA">
            <w:pPr>
              <w:spacing w:after="0" w:line="240" w:lineRule="auto"/>
            </w:pPr>
            <w:r w:rsidRPr="00BA4F7F">
              <w:rPr>
                <w:rFonts w:ascii="Aptos" w:hAnsi="Aptos"/>
                <w:color w:val="222222"/>
                <w:sz w:val="17"/>
              </w:rPr>
              <w:t>Progi, funkcje, koszyki i wagi nie są zmieniane wyłącznie w celu poprawy wyniku.</w:t>
            </w:r>
          </w:p>
        </w:tc>
      </w:tr>
      <w:tr w:rsidR="001A7966" w:rsidRPr="00BA4F7F" w14:paraId="4B04D352" w14:textId="77777777" w:rsidTr="008E56FA">
        <w:trPr>
          <w:cantSplit/>
          <w:jc w:val="center"/>
        </w:trPr>
        <w:tc>
          <w:tcPr>
            <w:tcW w:w="2381" w:type="dxa"/>
            <w:shd w:val="clear" w:color="auto" w:fill="FFFFFF"/>
            <w:tcMar>
              <w:top w:w="80" w:type="dxa"/>
              <w:left w:w="100" w:type="dxa"/>
              <w:bottom w:w="80" w:type="dxa"/>
              <w:right w:w="100" w:type="dxa"/>
            </w:tcMar>
            <w:vAlign w:val="center"/>
          </w:tcPr>
          <w:p w14:paraId="4F2BA01F" w14:textId="77777777" w:rsidR="001A7966" w:rsidRPr="00BA4F7F" w:rsidRDefault="001A7966" w:rsidP="008E56FA">
            <w:pPr>
              <w:spacing w:after="0" w:line="240" w:lineRule="auto"/>
            </w:pPr>
            <w:r w:rsidRPr="00BA4F7F">
              <w:rPr>
                <w:rFonts w:ascii="Aptos" w:hAnsi="Aptos"/>
                <w:b/>
                <w:color w:val="222222"/>
                <w:sz w:val="17"/>
              </w:rPr>
              <w:t>Porównywalność w czasie</w:t>
            </w:r>
          </w:p>
        </w:tc>
        <w:tc>
          <w:tcPr>
            <w:tcW w:w="7030" w:type="dxa"/>
            <w:shd w:val="clear" w:color="auto" w:fill="FFFFFF"/>
            <w:tcMar>
              <w:top w:w="80" w:type="dxa"/>
              <w:left w:w="100" w:type="dxa"/>
              <w:bottom w:w="80" w:type="dxa"/>
              <w:right w:w="100" w:type="dxa"/>
            </w:tcMar>
            <w:vAlign w:val="center"/>
          </w:tcPr>
          <w:p w14:paraId="57AAB594" w14:textId="77777777" w:rsidR="001A7966" w:rsidRPr="00BA4F7F" w:rsidRDefault="001A7966" w:rsidP="008E56FA">
            <w:pPr>
              <w:spacing w:after="0" w:line="240" w:lineRule="auto"/>
            </w:pPr>
            <w:r w:rsidRPr="00BA4F7F">
              <w:rPr>
                <w:rFonts w:ascii="Aptos" w:hAnsi="Aptos"/>
                <w:color w:val="222222"/>
                <w:sz w:val="17"/>
              </w:rPr>
              <w:t>Oceny kolejnych lat są prowadzone przy zachowaniu tych samych zasad; zmiana metodologii wymaga wersjonowania i ponownego przeliczenia szeregu, gdy jest to konieczne.</w:t>
            </w:r>
          </w:p>
        </w:tc>
      </w:tr>
      <w:tr w:rsidR="001A7966" w:rsidRPr="00BA4F7F" w14:paraId="7D600B9F" w14:textId="77777777" w:rsidTr="008E56FA">
        <w:trPr>
          <w:cantSplit/>
          <w:jc w:val="center"/>
        </w:trPr>
        <w:tc>
          <w:tcPr>
            <w:tcW w:w="2381" w:type="dxa"/>
            <w:shd w:val="clear" w:color="auto" w:fill="EEF5FA"/>
            <w:tcMar>
              <w:top w:w="80" w:type="dxa"/>
              <w:left w:w="100" w:type="dxa"/>
              <w:bottom w:w="80" w:type="dxa"/>
              <w:right w:w="100" w:type="dxa"/>
            </w:tcMar>
            <w:vAlign w:val="center"/>
          </w:tcPr>
          <w:p w14:paraId="132BC17D" w14:textId="77777777" w:rsidR="001A7966" w:rsidRPr="00BA4F7F" w:rsidRDefault="001A7966" w:rsidP="008E56FA">
            <w:pPr>
              <w:spacing w:after="0" w:line="240" w:lineRule="auto"/>
            </w:pPr>
            <w:r w:rsidRPr="00BA4F7F">
              <w:rPr>
                <w:rFonts w:ascii="Aptos" w:hAnsi="Aptos"/>
                <w:b/>
                <w:color w:val="222222"/>
                <w:sz w:val="17"/>
              </w:rPr>
              <w:t>Kontekstowość</w:t>
            </w:r>
          </w:p>
        </w:tc>
        <w:tc>
          <w:tcPr>
            <w:tcW w:w="7030" w:type="dxa"/>
            <w:shd w:val="clear" w:color="auto" w:fill="EEF5FA"/>
            <w:tcMar>
              <w:top w:w="80" w:type="dxa"/>
              <w:left w:w="100" w:type="dxa"/>
              <w:bottom w:w="80" w:type="dxa"/>
              <w:right w:w="100" w:type="dxa"/>
            </w:tcMar>
            <w:vAlign w:val="center"/>
          </w:tcPr>
          <w:p w14:paraId="10AAA3F1" w14:textId="77777777" w:rsidR="001A7966" w:rsidRPr="00BA4F7F" w:rsidRDefault="001A7966" w:rsidP="008E56FA">
            <w:pPr>
              <w:spacing w:after="0" w:line="240" w:lineRule="auto"/>
            </w:pPr>
            <w:r w:rsidRPr="00BA4F7F">
              <w:rPr>
                <w:rFonts w:ascii="Aptos" w:hAnsi="Aptos"/>
                <w:color w:val="222222"/>
                <w:sz w:val="17"/>
              </w:rPr>
              <w:t>Każdy rok jest oceniany według warunków, wiedzy, zagrożeń i fazy projektu właściwych dla tego roku, bez automatycznego stosowania późniejszych wymagań.</w:t>
            </w:r>
          </w:p>
        </w:tc>
      </w:tr>
      <w:tr w:rsidR="001A7966" w:rsidRPr="00BA4F7F" w14:paraId="5F6CA536" w14:textId="77777777" w:rsidTr="008E56FA">
        <w:trPr>
          <w:cantSplit/>
          <w:jc w:val="center"/>
        </w:trPr>
        <w:tc>
          <w:tcPr>
            <w:tcW w:w="2381" w:type="dxa"/>
            <w:shd w:val="clear" w:color="auto" w:fill="FFFFFF"/>
            <w:tcMar>
              <w:top w:w="80" w:type="dxa"/>
              <w:left w:w="100" w:type="dxa"/>
              <w:bottom w:w="80" w:type="dxa"/>
              <w:right w:w="100" w:type="dxa"/>
            </w:tcMar>
            <w:vAlign w:val="center"/>
          </w:tcPr>
          <w:p w14:paraId="68AAC001" w14:textId="77777777" w:rsidR="001A7966" w:rsidRPr="00BA4F7F" w:rsidRDefault="001A7966" w:rsidP="008E56FA">
            <w:pPr>
              <w:spacing w:after="0" w:line="240" w:lineRule="auto"/>
            </w:pPr>
            <w:r w:rsidRPr="00BA4F7F">
              <w:rPr>
                <w:rFonts w:ascii="Aptos" w:hAnsi="Aptos"/>
                <w:b/>
                <w:color w:val="222222"/>
                <w:sz w:val="17"/>
              </w:rPr>
              <w:t>Priorytet dowodów</w:t>
            </w:r>
          </w:p>
        </w:tc>
        <w:tc>
          <w:tcPr>
            <w:tcW w:w="7030" w:type="dxa"/>
            <w:shd w:val="clear" w:color="auto" w:fill="FFFFFF"/>
            <w:tcMar>
              <w:top w:w="80" w:type="dxa"/>
              <w:left w:w="100" w:type="dxa"/>
              <w:bottom w:w="80" w:type="dxa"/>
              <w:right w:w="100" w:type="dxa"/>
            </w:tcMar>
            <w:vAlign w:val="center"/>
          </w:tcPr>
          <w:p w14:paraId="7994E045" w14:textId="77777777" w:rsidR="001A7966" w:rsidRPr="00BA4F7F" w:rsidRDefault="001A7966" w:rsidP="008E56FA">
            <w:pPr>
              <w:spacing w:after="0" w:line="240" w:lineRule="auto"/>
            </w:pPr>
            <w:r w:rsidRPr="00BA4F7F">
              <w:rPr>
                <w:rFonts w:ascii="Aptos" w:hAnsi="Aptos"/>
                <w:color w:val="222222"/>
                <w:sz w:val="17"/>
              </w:rPr>
              <w:t>Preferowane są wiarygodne dane ilościowe; ocena ekspercka jest stosowana tam, gdzie brak jednego adekwatnego miernika.</w:t>
            </w:r>
          </w:p>
        </w:tc>
      </w:tr>
      <w:tr w:rsidR="001A7966" w:rsidRPr="00BA4F7F" w14:paraId="2E0F0ADD" w14:textId="77777777" w:rsidTr="008E56FA">
        <w:trPr>
          <w:cantSplit/>
          <w:jc w:val="center"/>
        </w:trPr>
        <w:tc>
          <w:tcPr>
            <w:tcW w:w="2381" w:type="dxa"/>
            <w:shd w:val="clear" w:color="auto" w:fill="EEF5FA"/>
            <w:tcMar>
              <w:top w:w="80" w:type="dxa"/>
              <w:left w:w="100" w:type="dxa"/>
              <w:bottom w:w="80" w:type="dxa"/>
              <w:right w:w="100" w:type="dxa"/>
            </w:tcMar>
            <w:vAlign w:val="center"/>
          </w:tcPr>
          <w:p w14:paraId="660AE30E" w14:textId="77777777" w:rsidR="001A7966" w:rsidRPr="00BA4F7F" w:rsidRDefault="001A7966" w:rsidP="008E56FA">
            <w:pPr>
              <w:spacing w:after="0" w:line="240" w:lineRule="auto"/>
            </w:pPr>
            <w:r w:rsidRPr="00BA4F7F">
              <w:rPr>
                <w:rFonts w:ascii="Aptos" w:hAnsi="Aptos"/>
                <w:b/>
                <w:color w:val="222222"/>
                <w:sz w:val="17"/>
              </w:rPr>
              <w:t>Ostrożność interpretacyjna</w:t>
            </w:r>
          </w:p>
        </w:tc>
        <w:tc>
          <w:tcPr>
            <w:tcW w:w="7030" w:type="dxa"/>
            <w:shd w:val="clear" w:color="auto" w:fill="EEF5FA"/>
            <w:tcMar>
              <w:top w:w="80" w:type="dxa"/>
              <w:left w:w="100" w:type="dxa"/>
              <w:bottom w:w="80" w:type="dxa"/>
              <w:right w:w="100" w:type="dxa"/>
            </w:tcMar>
            <w:vAlign w:val="center"/>
          </w:tcPr>
          <w:p w14:paraId="4AB57324" w14:textId="77777777" w:rsidR="001A7966" w:rsidRPr="00BA4F7F" w:rsidRDefault="001A7966" w:rsidP="008E56FA">
            <w:pPr>
              <w:spacing w:after="0" w:line="240" w:lineRule="auto"/>
            </w:pPr>
            <w:r w:rsidRPr="00BA4F7F">
              <w:rPr>
                <w:rFonts w:ascii="Aptos" w:hAnsi="Aptos"/>
                <w:color w:val="222222"/>
                <w:sz w:val="17"/>
              </w:rPr>
              <w:t xml:space="preserve">Wynik syntetyczny nie może przesłaniać krytycznych słabości w </w:t>
            </w:r>
            <w:proofErr w:type="spellStart"/>
            <w:r w:rsidRPr="00BA4F7F">
              <w:rPr>
                <w:rFonts w:ascii="Aptos" w:hAnsi="Aptos"/>
                <w:color w:val="222222"/>
                <w:sz w:val="17"/>
              </w:rPr>
              <w:t>subobszarach</w:t>
            </w:r>
            <w:proofErr w:type="spellEnd"/>
            <w:r w:rsidRPr="00BA4F7F">
              <w:rPr>
                <w:rFonts w:ascii="Aptos" w:hAnsi="Aptos"/>
                <w:color w:val="222222"/>
                <w:sz w:val="17"/>
              </w:rPr>
              <w:t xml:space="preserve"> lub wskaźnikach.</w:t>
            </w:r>
          </w:p>
        </w:tc>
      </w:tr>
      <w:tr w:rsidR="001A7966" w:rsidRPr="00BA4F7F" w14:paraId="37759E93" w14:textId="77777777" w:rsidTr="008E56FA">
        <w:trPr>
          <w:cantSplit/>
          <w:jc w:val="center"/>
        </w:trPr>
        <w:tc>
          <w:tcPr>
            <w:tcW w:w="2381" w:type="dxa"/>
            <w:shd w:val="clear" w:color="auto" w:fill="FFFFFF"/>
            <w:tcMar>
              <w:top w:w="80" w:type="dxa"/>
              <w:left w:w="100" w:type="dxa"/>
              <w:bottom w:w="80" w:type="dxa"/>
              <w:right w:w="100" w:type="dxa"/>
            </w:tcMar>
            <w:vAlign w:val="center"/>
          </w:tcPr>
          <w:p w14:paraId="12209183" w14:textId="77777777" w:rsidR="001A7966" w:rsidRPr="00BA4F7F" w:rsidRDefault="001A7966" w:rsidP="008E56FA">
            <w:pPr>
              <w:spacing w:after="0" w:line="240" w:lineRule="auto"/>
            </w:pPr>
            <w:r w:rsidRPr="00BA4F7F">
              <w:rPr>
                <w:rFonts w:ascii="Aptos" w:hAnsi="Aptos"/>
                <w:b/>
                <w:color w:val="222222"/>
                <w:sz w:val="17"/>
              </w:rPr>
              <w:t>Rozdzielenie wyniku i komentarza</w:t>
            </w:r>
          </w:p>
        </w:tc>
        <w:tc>
          <w:tcPr>
            <w:tcW w:w="7030" w:type="dxa"/>
            <w:shd w:val="clear" w:color="auto" w:fill="FFFFFF"/>
            <w:tcMar>
              <w:top w:w="80" w:type="dxa"/>
              <w:left w:w="100" w:type="dxa"/>
              <w:bottom w:w="80" w:type="dxa"/>
              <w:right w:w="100" w:type="dxa"/>
            </w:tcMar>
            <w:vAlign w:val="center"/>
          </w:tcPr>
          <w:p w14:paraId="067AFE2C" w14:textId="77777777" w:rsidR="001A7966" w:rsidRPr="00BA4F7F" w:rsidRDefault="001A7966" w:rsidP="008E56FA">
            <w:pPr>
              <w:spacing w:after="0" w:line="240" w:lineRule="auto"/>
            </w:pPr>
            <w:r w:rsidRPr="00BA4F7F">
              <w:rPr>
                <w:rFonts w:ascii="Aptos" w:hAnsi="Aptos"/>
                <w:color w:val="222222"/>
                <w:sz w:val="17"/>
              </w:rPr>
              <w:t>Punktacja syntetyzuje ocenę, natomiast komentarz wyjaśnia jej przyczyny, kontekst, ograniczenia oraz jakość danych.</w:t>
            </w:r>
          </w:p>
        </w:tc>
      </w:tr>
    </w:tbl>
    <w:p w14:paraId="365136E8" w14:textId="77777777" w:rsidR="001A7966" w:rsidRPr="00BA4F7F" w:rsidRDefault="001A7966" w:rsidP="001A7966">
      <w:pPr>
        <w:spacing w:after="0"/>
      </w:pPr>
    </w:p>
    <w:p w14:paraId="64B44363" w14:textId="77777777" w:rsidR="001A7966" w:rsidRPr="00BA4F7F" w:rsidRDefault="001A7966" w:rsidP="001A7966">
      <w:pPr>
        <w:pStyle w:val="IRSHeading2"/>
        <w:keepLines/>
        <w:rPr>
          <w:lang w:val="pl-PL"/>
        </w:rPr>
      </w:pPr>
      <w:r w:rsidRPr="00BA4F7F">
        <w:rPr>
          <w:lang w:val="pl-PL"/>
        </w:rPr>
        <w:t>Skala punktowa</w:t>
      </w:r>
    </w:p>
    <w:tbl>
      <w:tblPr>
        <w:tblW w:w="0" w:type="auto"/>
        <w:jc w:val="center"/>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Layout w:type="fixed"/>
        <w:tblLook w:val="04A0" w:firstRow="1" w:lastRow="0" w:firstColumn="1" w:lastColumn="0" w:noHBand="0" w:noVBand="1"/>
      </w:tblPr>
      <w:tblGrid>
        <w:gridCol w:w="1304"/>
        <w:gridCol w:w="3061"/>
        <w:gridCol w:w="5046"/>
      </w:tblGrid>
      <w:tr w:rsidR="001A7966" w:rsidRPr="00BA4F7F" w14:paraId="5A01378A" w14:textId="77777777" w:rsidTr="008E56FA">
        <w:trPr>
          <w:cantSplit/>
          <w:tblHeader/>
          <w:jc w:val="center"/>
        </w:trPr>
        <w:tc>
          <w:tcPr>
            <w:tcW w:w="1304" w:type="dxa"/>
            <w:shd w:val="clear" w:color="auto" w:fill="1F4E79"/>
            <w:tcMar>
              <w:top w:w="80" w:type="dxa"/>
              <w:left w:w="100" w:type="dxa"/>
              <w:bottom w:w="80" w:type="dxa"/>
              <w:right w:w="100" w:type="dxa"/>
            </w:tcMar>
            <w:vAlign w:val="center"/>
          </w:tcPr>
          <w:p w14:paraId="728A1663" w14:textId="77777777" w:rsidR="001A7966" w:rsidRPr="00BA4F7F" w:rsidRDefault="001A7966" w:rsidP="008E56FA">
            <w:pPr>
              <w:spacing w:after="0" w:line="240" w:lineRule="auto"/>
              <w:jc w:val="center"/>
            </w:pPr>
            <w:r w:rsidRPr="00BA4F7F">
              <w:rPr>
                <w:rFonts w:ascii="Aptos" w:hAnsi="Aptos"/>
                <w:b/>
                <w:color w:val="FFFFFF"/>
                <w:sz w:val="17"/>
              </w:rPr>
              <w:t>Zakres</w:t>
            </w:r>
          </w:p>
        </w:tc>
        <w:tc>
          <w:tcPr>
            <w:tcW w:w="3061" w:type="dxa"/>
            <w:shd w:val="clear" w:color="auto" w:fill="1F4E79"/>
            <w:tcMar>
              <w:top w:w="80" w:type="dxa"/>
              <w:left w:w="100" w:type="dxa"/>
              <w:bottom w:w="80" w:type="dxa"/>
              <w:right w:w="100" w:type="dxa"/>
            </w:tcMar>
            <w:vAlign w:val="center"/>
          </w:tcPr>
          <w:p w14:paraId="3689C39C" w14:textId="77777777" w:rsidR="001A7966" w:rsidRPr="00BA4F7F" w:rsidRDefault="001A7966" w:rsidP="008E56FA">
            <w:pPr>
              <w:spacing w:after="0" w:line="240" w:lineRule="auto"/>
              <w:jc w:val="center"/>
            </w:pPr>
            <w:r w:rsidRPr="00BA4F7F">
              <w:rPr>
                <w:rFonts w:ascii="Aptos" w:hAnsi="Aptos"/>
                <w:b/>
                <w:color w:val="FFFFFF"/>
                <w:sz w:val="17"/>
              </w:rPr>
              <w:t>Interpretacja</w:t>
            </w:r>
          </w:p>
        </w:tc>
        <w:tc>
          <w:tcPr>
            <w:tcW w:w="5046" w:type="dxa"/>
            <w:shd w:val="clear" w:color="auto" w:fill="1F4E79"/>
            <w:tcMar>
              <w:top w:w="80" w:type="dxa"/>
              <w:left w:w="100" w:type="dxa"/>
              <w:bottom w:w="80" w:type="dxa"/>
              <w:right w:w="100" w:type="dxa"/>
            </w:tcMar>
            <w:vAlign w:val="center"/>
          </w:tcPr>
          <w:p w14:paraId="5E220406" w14:textId="77777777" w:rsidR="001A7966" w:rsidRPr="00BA4F7F" w:rsidRDefault="001A7966" w:rsidP="008E56FA">
            <w:pPr>
              <w:spacing w:after="0" w:line="240" w:lineRule="auto"/>
              <w:jc w:val="center"/>
            </w:pPr>
            <w:r w:rsidRPr="00BA4F7F">
              <w:rPr>
                <w:rFonts w:ascii="Aptos" w:hAnsi="Aptos"/>
                <w:b/>
                <w:color w:val="FFFFFF"/>
                <w:sz w:val="17"/>
              </w:rPr>
              <w:t>Znaczenie dla raportowania</w:t>
            </w:r>
          </w:p>
        </w:tc>
      </w:tr>
      <w:tr w:rsidR="001A7966" w:rsidRPr="00BA4F7F" w14:paraId="49E5541F" w14:textId="77777777" w:rsidTr="008E56FA">
        <w:trPr>
          <w:cantSplit/>
          <w:jc w:val="center"/>
        </w:trPr>
        <w:tc>
          <w:tcPr>
            <w:tcW w:w="1304" w:type="dxa"/>
            <w:shd w:val="clear" w:color="auto" w:fill="FFFFFF"/>
            <w:tcMar>
              <w:top w:w="80" w:type="dxa"/>
              <w:left w:w="100" w:type="dxa"/>
              <w:bottom w:w="80" w:type="dxa"/>
              <w:right w:w="100" w:type="dxa"/>
            </w:tcMar>
            <w:vAlign w:val="center"/>
          </w:tcPr>
          <w:p w14:paraId="7BBC8F68" w14:textId="77777777" w:rsidR="001A7966" w:rsidRPr="00BA4F7F" w:rsidRDefault="001A7966" w:rsidP="008E56FA">
            <w:pPr>
              <w:spacing w:after="0" w:line="240" w:lineRule="auto"/>
            </w:pPr>
            <w:r w:rsidRPr="00BA4F7F">
              <w:rPr>
                <w:rFonts w:ascii="Aptos" w:hAnsi="Aptos"/>
                <w:b/>
                <w:color w:val="222222"/>
                <w:sz w:val="17"/>
              </w:rPr>
              <w:t>80–100</w:t>
            </w:r>
          </w:p>
        </w:tc>
        <w:tc>
          <w:tcPr>
            <w:tcW w:w="3061" w:type="dxa"/>
            <w:shd w:val="clear" w:color="auto" w:fill="FFFFFF"/>
            <w:tcMar>
              <w:top w:w="80" w:type="dxa"/>
              <w:left w:w="100" w:type="dxa"/>
              <w:bottom w:w="80" w:type="dxa"/>
              <w:right w:w="100" w:type="dxa"/>
            </w:tcMar>
            <w:vAlign w:val="center"/>
          </w:tcPr>
          <w:p w14:paraId="0BD686AA" w14:textId="77777777" w:rsidR="001A7966" w:rsidRPr="00BA4F7F" w:rsidRDefault="001A7966" w:rsidP="008E56FA">
            <w:pPr>
              <w:spacing w:after="0" w:line="240" w:lineRule="auto"/>
            </w:pPr>
            <w:r w:rsidRPr="00BA4F7F">
              <w:rPr>
                <w:rFonts w:ascii="Aptos" w:hAnsi="Aptos"/>
                <w:color w:val="222222"/>
                <w:sz w:val="17"/>
              </w:rPr>
              <w:t>Wysoka odporność lub silna zdolność strategiczna</w:t>
            </w:r>
          </w:p>
        </w:tc>
        <w:tc>
          <w:tcPr>
            <w:tcW w:w="5046" w:type="dxa"/>
            <w:shd w:val="clear" w:color="auto" w:fill="FFFFFF"/>
            <w:tcMar>
              <w:top w:w="80" w:type="dxa"/>
              <w:left w:w="100" w:type="dxa"/>
              <w:bottom w:w="80" w:type="dxa"/>
              <w:right w:w="100" w:type="dxa"/>
            </w:tcMar>
            <w:vAlign w:val="center"/>
          </w:tcPr>
          <w:p w14:paraId="3FF8E13A" w14:textId="77777777" w:rsidR="001A7966" w:rsidRPr="00BA4F7F" w:rsidRDefault="001A7966" w:rsidP="008E56FA">
            <w:pPr>
              <w:spacing w:after="0" w:line="240" w:lineRule="auto"/>
            </w:pPr>
            <w:r w:rsidRPr="00BA4F7F">
              <w:rPr>
                <w:rFonts w:ascii="Aptos" w:hAnsi="Aptos"/>
                <w:color w:val="222222"/>
                <w:sz w:val="17"/>
              </w:rPr>
              <w:t xml:space="preserve">Obszar wzmacnia rację stanu; wymagane są utrzymanie jakości i monitoring </w:t>
            </w:r>
            <w:proofErr w:type="spellStart"/>
            <w:r w:rsidRPr="00BA4F7F">
              <w:rPr>
                <w:rFonts w:ascii="Aptos" w:hAnsi="Aptos"/>
                <w:color w:val="222222"/>
                <w:sz w:val="17"/>
              </w:rPr>
              <w:t>ryzyk</w:t>
            </w:r>
            <w:proofErr w:type="spellEnd"/>
            <w:r w:rsidRPr="00BA4F7F">
              <w:rPr>
                <w:rFonts w:ascii="Aptos" w:hAnsi="Aptos"/>
                <w:color w:val="222222"/>
                <w:sz w:val="17"/>
              </w:rPr>
              <w:t>.</w:t>
            </w:r>
          </w:p>
        </w:tc>
      </w:tr>
      <w:tr w:rsidR="001A7966" w:rsidRPr="00BA4F7F" w14:paraId="367BE411" w14:textId="77777777" w:rsidTr="008E56FA">
        <w:trPr>
          <w:cantSplit/>
          <w:jc w:val="center"/>
        </w:trPr>
        <w:tc>
          <w:tcPr>
            <w:tcW w:w="1304" w:type="dxa"/>
            <w:shd w:val="clear" w:color="auto" w:fill="EEF5FA"/>
            <w:tcMar>
              <w:top w:w="80" w:type="dxa"/>
              <w:left w:w="100" w:type="dxa"/>
              <w:bottom w:w="80" w:type="dxa"/>
              <w:right w:w="100" w:type="dxa"/>
            </w:tcMar>
            <w:vAlign w:val="center"/>
          </w:tcPr>
          <w:p w14:paraId="7DD9123C" w14:textId="77777777" w:rsidR="001A7966" w:rsidRPr="00BA4F7F" w:rsidRDefault="001A7966" w:rsidP="008E56FA">
            <w:pPr>
              <w:spacing w:after="0" w:line="240" w:lineRule="auto"/>
            </w:pPr>
            <w:r w:rsidRPr="00BA4F7F">
              <w:rPr>
                <w:rFonts w:ascii="Aptos" w:hAnsi="Aptos"/>
                <w:b/>
                <w:color w:val="222222"/>
                <w:sz w:val="17"/>
              </w:rPr>
              <w:t>60–79,9</w:t>
            </w:r>
          </w:p>
        </w:tc>
        <w:tc>
          <w:tcPr>
            <w:tcW w:w="3061" w:type="dxa"/>
            <w:shd w:val="clear" w:color="auto" w:fill="EEF5FA"/>
            <w:tcMar>
              <w:top w:w="80" w:type="dxa"/>
              <w:left w:w="100" w:type="dxa"/>
              <w:bottom w:w="80" w:type="dxa"/>
              <w:right w:w="100" w:type="dxa"/>
            </w:tcMar>
            <w:vAlign w:val="center"/>
          </w:tcPr>
          <w:p w14:paraId="0B9D73FF" w14:textId="77777777" w:rsidR="001A7966" w:rsidRPr="00BA4F7F" w:rsidRDefault="001A7966" w:rsidP="008E56FA">
            <w:pPr>
              <w:spacing w:after="0" w:line="240" w:lineRule="auto"/>
            </w:pPr>
            <w:r w:rsidRPr="00BA4F7F">
              <w:rPr>
                <w:rFonts w:ascii="Aptos" w:hAnsi="Aptos"/>
                <w:color w:val="222222"/>
                <w:sz w:val="17"/>
              </w:rPr>
              <w:t>Umiarkowanie dobra odporność</w:t>
            </w:r>
          </w:p>
        </w:tc>
        <w:tc>
          <w:tcPr>
            <w:tcW w:w="5046" w:type="dxa"/>
            <w:shd w:val="clear" w:color="auto" w:fill="EEF5FA"/>
            <w:tcMar>
              <w:top w:w="80" w:type="dxa"/>
              <w:left w:w="100" w:type="dxa"/>
              <w:bottom w:w="80" w:type="dxa"/>
              <w:right w:w="100" w:type="dxa"/>
            </w:tcMar>
            <w:vAlign w:val="center"/>
          </w:tcPr>
          <w:p w14:paraId="3277BC34" w14:textId="77777777" w:rsidR="001A7966" w:rsidRPr="00BA4F7F" w:rsidRDefault="001A7966" w:rsidP="008E56FA">
            <w:pPr>
              <w:spacing w:after="0" w:line="240" w:lineRule="auto"/>
            </w:pPr>
            <w:r w:rsidRPr="00BA4F7F">
              <w:rPr>
                <w:rFonts w:ascii="Aptos" w:hAnsi="Aptos"/>
                <w:color w:val="222222"/>
                <w:sz w:val="17"/>
              </w:rPr>
              <w:t>Zasadnicza zdolność jest zachowana, ale występują ograniczenia albo słabości.</w:t>
            </w:r>
          </w:p>
        </w:tc>
      </w:tr>
      <w:tr w:rsidR="001A7966" w:rsidRPr="00BA4F7F" w14:paraId="1610E702" w14:textId="77777777" w:rsidTr="008E56FA">
        <w:trPr>
          <w:cantSplit/>
          <w:jc w:val="center"/>
        </w:trPr>
        <w:tc>
          <w:tcPr>
            <w:tcW w:w="1304" w:type="dxa"/>
            <w:shd w:val="clear" w:color="auto" w:fill="FFFFFF"/>
            <w:tcMar>
              <w:top w:w="80" w:type="dxa"/>
              <w:left w:w="100" w:type="dxa"/>
              <w:bottom w:w="80" w:type="dxa"/>
              <w:right w:w="100" w:type="dxa"/>
            </w:tcMar>
            <w:vAlign w:val="center"/>
          </w:tcPr>
          <w:p w14:paraId="49E93D76" w14:textId="77777777" w:rsidR="001A7966" w:rsidRPr="00BA4F7F" w:rsidRDefault="001A7966" w:rsidP="008E56FA">
            <w:pPr>
              <w:spacing w:after="0" w:line="240" w:lineRule="auto"/>
            </w:pPr>
            <w:r w:rsidRPr="00BA4F7F">
              <w:rPr>
                <w:rFonts w:ascii="Aptos" w:hAnsi="Aptos"/>
                <w:b/>
                <w:color w:val="222222"/>
                <w:sz w:val="17"/>
              </w:rPr>
              <w:t>40–59,9</w:t>
            </w:r>
          </w:p>
        </w:tc>
        <w:tc>
          <w:tcPr>
            <w:tcW w:w="3061" w:type="dxa"/>
            <w:shd w:val="clear" w:color="auto" w:fill="FFFFFF"/>
            <w:tcMar>
              <w:top w:w="80" w:type="dxa"/>
              <w:left w:w="100" w:type="dxa"/>
              <w:bottom w:w="80" w:type="dxa"/>
              <w:right w:w="100" w:type="dxa"/>
            </w:tcMar>
            <w:vAlign w:val="center"/>
          </w:tcPr>
          <w:p w14:paraId="13E7B72E" w14:textId="77777777" w:rsidR="001A7966" w:rsidRPr="00BA4F7F" w:rsidRDefault="001A7966" w:rsidP="008E56FA">
            <w:pPr>
              <w:spacing w:after="0" w:line="240" w:lineRule="auto"/>
            </w:pPr>
            <w:r w:rsidRPr="00BA4F7F">
              <w:rPr>
                <w:rFonts w:ascii="Aptos" w:hAnsi="Aptos"/>
                <w:color w:val="222222"/>
                <w:sz w:val="17"/>
              </w:rPr>
              <w:t>Słaba lub niepełna odporność</w:t>
            </w:r>
          </w:p>
        </w:tc>
        <w:tc>
          <w:tcPr>
            <w:tcW w:w="5046" w:type="dxa"/>
            <w:shd w:val="clear" w:color="auto" w:fill="FFFFFF"/>
            <w:tcMar>
              <w:top w:w="80" w:type="dxa"/>
              <w:left w:w="100" w:type="dxa"/>
              <w:bottom w:w="80" w:type="dxa"/>
              <w:right w:w="100" w:type="dxa"/>
            </w:tcMar>
            <w:vAlign w:val="center"/>
          </w:tcPr>
          <w:p w14:paraId="3B6B14FC" w14:textId="77777777" w:rsidR="001A7966" w:rsidRPr="00BA4F7F" w:rsidRDefault="001A7966" w:rsidP="008E56FA">
            <w:pPr>
              <w:spacing w:after="0" w:line="240" w:lineRule="auto"/>
            </w:pPr>
            <w:r w:rsidRPr="00BA4F7F">
              <w:rPr>
                <w:rFonts w:ascii="Aptos" w:hAnsi="Aptos"/>
                <w:color w:val="222222"/>
                <w:sz w:val="17"/>
              </w:rPr>
              <w:t>Potrzebna jest pogłębiona diagnoza oraz korekta polityki lub sposobu realizacji.</w:t>
            </w:r>
          </w:p>
        </w:tc>
      </w:tr>
      <w:tr w:rsidR="001A7966" w:rsidRPr="00BA4F7F" w14:paraId="05CA3E33" w14:textId="77777777" w:rsidTr="008E56FA">
        <w:trPr>
          <w:cantSplit/>
          <w:jc w:val="center"/>
        </w:trPr>
        <w:tc>
          <w:tcPr>
            <w:tcW w:w="1304" w:type="dxa"/>
            <w:shd w:val="clear" w:color="auto" w:fill="EEF5FA"/>
            <w:tcMar>
              <w:top w:w="80" w:type="dxa"/>
              <w:left w:w="100" w:type="dxa"/>
              <w:bottom w:w="80" w:type="dxa"/>
              <w:right w:w="100" w:type="dxa"/>
            </w:tcMar>
            <w:vAlign w:val="center"/>
          </w:tcPr>
          <w:p w14:paraId="217AFAF0" w14:textId="77777777" w:rsidR="001A7966" w:rsidRPr="00BA4F7F" w:rsidRDefault="001A7966" w:rsidP="008E56FA">
            <w:pPr>
              <w:spacing w:after="0" w:line="240" w:lineRule="auto"/>
            </w:pPr>
            <w:r w:rsidRPr="00BA4F7F">
              <w:rPr>
                <w:rFonts w:ascii="Aptos" w:hAnsi="Aptos"/>
                <w:b/>
                <w:color w:val="222222"/>
                <w:sz w:val="17"/>
              </w:rPr>
              <w:t>20–39,9</w:t>
            </w:r>
          </w:p>
        </w:tc>
        <w:tc>
          <w:tcPr>
            <w:tcW w:w="3061" w:type="dxa"/>
            <w:shd w:val="clear" w:color="auto" w:fill="EEF5FA"/>
            <w:tcMar>
              <w:top w:w="80" w:type="dxa"/>
              <w:left w:w="100" w:type="dxa"/>
              <w:bottom w:w="80" w:type="dxa"/>
              <w:right w:w="100" w:type="dxa"/>
            </w:tcMar>
            <w:vAlign w:val="center"/>
          </w:tcPr>
          <w:p w14:paraId="05F9A068" w14:textId="77777777" w:rsidR="001A7966" w:rsidRPr="00BA4F7F" w:rsidRDefault="001A7966" w:rsidP="008E56FA">
            <w:pPr>
              <w:spacing w:after="0" w:line="240" w:lineRule="auto"/>
            </w:pPr>
            <w:r w:rsidRPr="00BA4F7F">
              <w:rPr>
                <w:rFonts w:ascii="Aptos" w:hAnsi="Aptos"/>
                <w:color w:val="222222"/>
                <w:sz w:val="17"/>
              </w:rPr>
              <w:t>Wysokie ryzyko strategiczne</w:t>
            </w:r>
          </w:p>
        </w:tc>
        <w:tc>
          <w:tcPr>
            <w:tcW w:w="5046" w:type="dxa"/>
            <w:shd w:val="clear" w:color="auto" w:fill="EEF5FA"/>
            <w:tcMar>
              <w:top w:w="80" w:type="dxa"/>
              <w:left w:w="100" w:type="dxa"/>
              <w:bottom w:w="80" w:type="dxa"/>
              <w:right w:w="100" w:type="dxa"/>
            </w:tcMar>
            <w:vAlign w:val="center"/>
          </w:tcPr>
          <w:p w14:paraId="548B79BE" w14:textId="77777777" w:rsidR="001A7966" w:rsidRPr="00BA4F7F" w:rsidRDefault="001A7966" w:rsidP="008E56FA">
            <w:pPr>
              <w:spacing w:after="0" w:line="240" w:lineRule="auto"/>
            </w:pPr>
            <w:r w:rsidRPr="00BA4F7F">
              <w:rPr>
                <w:rFonts w:ascii="Aptos" w:hAnsi="Aptos"/>
                <w:color w:val="222222"/>
                <w:sz w:val="17"/>
              </w:rPr>
              <w:t>Obszar istotnie osłabia zdolności państwa i wymaga odrębnej rekomendacji.</w:t>
            </w:r>
          </w:p>
        </w:tc>
      </w:tr>
      <w:tr w:rsidR="001A7966" w:rsidRPr="00BA4F7F" w14:paraId="08765E87" w14:textId="77777777" w:rsidTr="008E56FA">
        <w:trPr>
          <w:cantSplit/>
          <w:jc w:val="center"/>
        </w:trPr>
        <w:tc>
          <w:tcPr>
            <w:tcW w:w="1304" w:type="dxa"/>
            <w:shd w:val="clear" w:color="auto" w:fill="FFFFFF"/>
            <w:tcMar>
              <w:top w:w="80" w:type="dxa"/>
              <w:left w:w="100" w:type="dxa"/>
              <w:bottom w:w="80" w:type="dxa"/>
              <w:right w:w="100" w:type="dxa"/>
            </w:tcMar>
            <w:vAlign w:val="center"/>
          </w:tcPr>
          <w:p w14:paraId="3AC0EBA4" w14:textId="77777777" w:rsidR="001A7966" w:rsidRPr="00BA4F7F" w:rsidRDefault="001A7966" w:rsidP="008E56FA">
            <w:pPr>
              <w:spacing w:after="0" w:line="240" w:lineRule="auto"/>
            </w:pPr>
            <w:r w:rsidRPr="00BA4F7F">
              <w:rPr>
                <w:rFonts w:ascii="Aptos" w:hAnsi="Aptos"/>
                <w:b/>
                <w:color w:val="222222"/>
                <w:sz w:val="17"/>
              </w:rPr>
              <w:t>0–19,9</w:t>
            </w:r>
          </w:p>
        </w:tc>
        <w:tc>
          <w:tcPr>
            <w:tcW w:w="3061" w:type="dxa"/>
            <w:shd w:val="clear" w:color="auto" w:fill="FFFFFF"/>
            <w:tcMar>
              <w:top w:w="80" w:type="dxa"/>
              <w:left w:w="100" w:type="dxa"/>
              <w:bottom w:w="80" w:type="dxa"/>
              <w:right w:w="100" w:type="dxa"/>
            </w:tcMar>
            <w:vAlign w:val="center"/>
          </w:tcPr>
          <w:p w14:paraId="161CC680" w14:textId="77777777" w:rsidR="001A7966" w:rsidRPr="00BA4F7F" w:rsidRDefault="001A7966" w:rsidP="008E56FA">
            <w:pPr>
              <w:spacing w:after="0" w:line="240" w:lineRule="auto"/>
            </w:pPr>
            <w:r w:rsidRPr="00BA4F7F">
              <w:rPr>
                <w:rFonts w:ascii="Aptos" w:hAnsi="Aptos"/>
                <w:color w:val="222222"/>
                <w:sz w:val="17"/>
              </w:rPr>
              <w:t>Ryzyko krytyczne</w:t>
            </w:r>
          </w:p>
        </w:tc>
        <w:tc>
          <w:tcPr>
            <w:tcW w:w="5046" w:type="dxa"/>
            <w:shd w:val="clear" w:color="auto" w:fill="FFFFFF"/>
            <w:tcMar>
              <w:top w:w="80" w:type="dxa"/>
              <w:left w:w="100" w:type="dxa"/>
              <w:bottom w:w="80" w:type="dxa"/>
              <w:right w:w="100" w:type="dxa"/>
            </w:tcMar>
            <w:vAlign w:val="center"/>
          </w:tcPr>
          <w:p w14:paraId="68F7E0C2" w14:textId="77777777" w:rsidR="001A7966" w:rsidRPr="00BA4F7F" w:rsidRDefault="001A7966" w:rsidP="008E56FA">
            <w:pPr>
              <w:spacing w:after="0" w:line="240" w:lineRule="auto"/>
            </w:pPr>
            <w:r w:rsidRPr="00BA4F7F">
              <w:rPr>
                <w:rFonts w:ascii="Aptos" w:hAnsi="Aptos"/>
                <w:color w:val="222222"/>
                <w:sz w:val="17"/>
              </w:rPr>
              <w:t>Występuje strukturalna utrata zdolności lub słabość wymagająca pilnej odpowiedzi.</w:t>
            </w:r>
          </w:p>
        </w:tc>
      </w:tr>
    </w:tbl>
    <w:p w14:paraId="401511AC" w14:textId="77777777" w:rsidR="001A7966" w:rsidRPr="00BA4F7F" w:rsidRDefault="001A7966" w:rsidP="001A7966">
      <w:pPr>
        <w:spacing w:after="0"/>
      </w:pPr>
    </w:p>
    <w:p w14:paraId="0353C8E8" w14:textId="77777777" w:rsidR="001A7966" w:rsidRPr="00BA4F7F" w:rsidRDefault="001A7966" w:rsidP="001A7966">
      <w:r w:rsidRPr="00BA4F7F">
        <w:t>Skala nie oznacza procentowego wykonania zadań. Wynik 70 pkt nie oznacza, że państwo zrealizowało 70% celu, podobnie jak wynik projektu na poziomie 80 pkt nie oznacza ukończenia 80% jego zakresu. Punktacja wskazuje pozycję danego komponentu na zdefiniowanej skali strategicznej.</w:t>
      </w:r>
    </w:p>
    <w:p w14:paraId="404F2274" w14:textId="77777777" w:rsidR="003357E9" w:rsidRPr="00BA4F7F" w:rsidRDefault="00000000">
      <w:pPr>
        <w:pStyle w:val="IRSHeading2"/>
        <w:rPr>
          <w:lang w:val="pl-PL"/>
        </w:rPr>
      </w:pPr>
      <w:r w:rsidRPr="00BA4F7F">
        <w:rPr>
          <w:lang w:val="pl-PL"/>
        </w:rPr>
        <w:t>System alertów i sygnałów ostrzegawczych</w:t>
      </w:r>
    </w:p>
    <w:p w14:paraId="36E9A27F" w14:textId="77777777" w:rsidR="003357E9" w:rsidRPr="00BA4F7F" w:rsidRDefault="00000000">
      <w:r w:rsidRPr="00BA4F7F">
        <w:t xml:space="preserve">Punktacja opisuje poziom zdolności, natomiast alerty identyfikują stany skrajne i niekorzystną dynamikę. Alert krytyczny uruchamia się dla </w:t>
      </w:r>
      <w:proofErr w:type="spellStart"/>
      <w:r w:rsidRPr="00BA4F7F">
        <w:t>subobszaru</w:t>
      </w:r>
      <w:proofErr w:type="spellEnd"/>
      <w:r w:rsidRPr="00BA4F7F">
        <w:t xml:space="preserve"> poniżej 20 pkt, alert wysokiego ryzyka dla </w:t>
      </w:r>
      <w:proofErr w:type="spellStart"/>
      <w:r w:rsidRPr="00BA4F7F">
        <w:t>subobszaru</w:t>
      </w:r>
      <w:proofErr w:type="spellEnd"/>
      <w:r w:rsidRPr="00BA4F7F">
        <w:t xml:space="preserve"> lub </w:t>
      </w:r>
      <w:proofErr w:type="spellStart"/>
      <w:r w:rsidRPr="00BA4F7F">
        <w:t>subindeksu</w:t>
      </w:r>
      <w:proofErr w:type="spellEnd"/>
      <w:r w:rsidRPr="00BA4F7F">
        <w:t xml:space="preserve"> poniżej 40 pkt, a alert utrwalonego wysokiego ryzyka dla </w:t>
      </w:r>
      <w:proofErr w:type="spellStart"/>
      <w:r w:rsidRPr="00BA4F7F">
        <w:t>subindeksu</w:t>
      </w:r>
      <w:proofErr w:type="spellEnd"/>
      <w:r w:rsidRPr="00BA4F7F">
        <w:t xml:space="preserve"> poniżej 45 pkt przez dwa kolejne lata. Progi szybkiego pogorszenia wynoszą odpowiednio 3, 4, 6 i 8 pkt dla IRS, filaru, </w:t>
      </w:r>
      <w:proofErr w:type="spellStart"/>
      <w:r w:rsidRPr="00BA4F7F">
        <w:t>subindeksu</w:t>
      </w:r>
      <w:proofErr w:type="spellEnd"/>
      <w:r w:rsidRPr="00BA4F7F">
        <w:t xml:space="preserve"> i </w:t>
      </w:r>
      <w:proofErr w:type="spellStart"/>
      <w:r w:rsidRPr="00BA4F7F">
        <w:t>subobszaru</w:t>
      </w:r>
      <w:proofErr w:type="spellEnd"/>
      <w:r w:rsidRPr="00BA4F7F">
        <w:t xml:space="preserve">. Pogorszenie strukturalne jest liczone w ruchomym okresie trzyletnim przy progach 3, 4, 6 i 10 pkt oraz co najmniej dwóch rocznych spadkach. Sygnał trwałej słabości dotyczy </w:t>
      </w:r>
      <w:proofErr w:type="spellStart"/>
      <w:r w:rsidRPr="00BA4F7F">
        <w:t>subobszaru</w:t>
      </w:r>
      <w:proofErr w:type="spellEnd"/>
      <w:r w:rsidRPr="00BA4F7F">
        <w:t xml:space="preserve"> poniżej 50 pkt przez trzy lata i nie ma rangi formalnego alertu.</w:t>
      </w:r>
    </w:p>
    <w:tbl>
      <w:tblPr>
        <w:tblStyle w:val="Tabela-Siatka"/>
        <w:tblW w:w="0" w:type="auto"/>
        <w:jc w:val="center"/>
        <w:tblLook w:val="04A0" w:firstRow="1" w:lastRow="0" w:firstColumn="1" w:lastColumn="0" w:noHBand="0" w:noVBand="1"/>
      </w:tblPr>
      <w:tblGrid>
        <w:gridCol w:w="2232"/>
        <w:gridCol w:w="3096"/>
        <w:gridCol w:w="4176"/>
      </w:tblGrid>
      <w:tr w:rsidR="003357E9" w:rsidRPr="00BA4F7F" w14:paraId="7CB06A7C" w14:textId="77777777">
        <w:trPr>
          <w:cantSplit/>
          <w:tblHeader/>
          <w:jc w:val="center"/>
        </w:trPr>
        <w:tc>
          <w:tcPr>
            <w:tcW w:w="2232" w:type="dxa"/>
            <w:shd w:val="clear" w:color="auto" w:fill="238C8C"/>
            <w:tcMar>
              <w:top w:w="70" w:type="dxa"/>
              <w:left w:w="85" w:type="dxa"/>
              <w:bottom w:w="70" w:type="dxa"/>
              <w:right w:w="85" w:type="dxa"/>
            </w:tcMar>
            <w:vAlign w:val="center"/>
          </w:tcPr>
          <w:p w14:paraId="3C0BB143" w14:textId="77777777" w:rsidR="003357E9" w:rsidRPr="00BA4F7F" w:rsidRDefault="00000000">
            <w:pPr>
              <w:spacing w:after="0"/>
              <w:jc w:val="center"/>
            </w:pPr>
            <w:r w:rsidRPr="00BA4F7F">
              <w:rPr>
                <w:b/>
                <w:color w:val="FFFFFF"/>
                <w:sz w:val="16"/>
              </w:rPr>
              <w:t>Mechanizm</w:t>
            </w:r>
          </w:p>
        </w:tc>
        <w:tc>
          <w:tcPr>
            <w:tcW w:w="3096" w:type="dxa"/>
            <w:shd w:val="clear" w:color="auto" w:fill="238C8C"/>
            <w:tcMar>
              <w:top w:w="70" w:type="dxa"/>
              <w:left w:w="85" w:type="dxa"/>
              <w:bottom w:w="70" w:type="dxa"/>
              <w:right w:w="85" w:type="dxa"/>
            </w:tcMar>
            <w:vAlign w:val="center"/>
          </w:tcPr>
          <w:p w14:paraId="279C29FD" w14:textId="77777777" w:rsidR="003357E9" w:rsidRPr="00BA4F7F" w:rsidRDefault="00000000">
            <w:pPr>
              <w:spacing w:after="0"/>
              <w:jc w:val="center"/>
            </w:pPr>
            <w:r w:rsidRPr="00BA4F7F">
              <w:rPr>
                <w:b/>
                <w:color w:val="FFFFFF"/>
                <w:sz w:val="16"/>
              </w:rPr>
              <w:t>Warunek</w:t>
            </w:r>
          </w:p>
        </w:tc>
        <w:tc>
          <w:tcPr>
            <w:tcW w:w="4176" w:type="dxa"/>
            <w:shd w:val="clear" w:color="auto" w:fill="238C8C"/>
            <w:tcMar>
              <w:top w:w="70" w:type="dxa"/>
              <w:left w:w="85" w:type="dxa"/>
              <w:bottom w:w="70" w:type="dxa"/>
              <w:right w:w="85" w:type="dxa"/>
            </w:tcMar>
            <w:vAlign w:val="center"/>
          </w:tcPr>
          <w:p w14:paraId="2D038FCD" w14:textId="77777777" w:rsidR="003357E9" w:rsidRPr="00BA4F7F" w:rsidRDefault="00000000">
            <w:pPr>
              <w:spacing w:after="0"/>
              <w:jc w:val="center"/>
            </w:pPr>
            <w:r w:rsidRPr="00BA4F7F">
              <w:rPr>
                <w:b/>
                <w:color w:val="FFFFFF"/>
                <w:sz w:val="16"/>
              </w:rPr>
              <w:t>Funkcja interpretacyjna</w:t>
            </w:r>
          </w:p>
        </w:tc>
      </w:tr>
      <w:tr w:rsidR="003357E9" w:rsidRPr="00BA4F7F" w14:paraId="7F2726E8" w14:textId="77777777">
        <w:trPr>
          <w:cantSplit/>
          <w:jc w:val="center"/>
        </w:trPr>
        <w:tc>
          <w:tcPr>
            <w:tcW w:w="2232" w:type="dxa"/>
            <w:tcMar>
              <w:top w:w="70" w:type="dxa"/>
              <w:left w:w="85" w:type="dxa"/>
              <w:bottom w:w="70" w:type="dxa"/>
              <w:right w:w="85" w:type="dxa"/>
            </w:tcMar>
            <w:vAlign w:val="center"/>
          </w:tcPr>
          <w:p w14:paraId="16F20E09" w14:textId="77777777" w:rsidR="003357E9" w:rsidRPr="00BA4F7F" w:rsidRDefault="00000000">
            <w:pPr>
              <w:spacing w:after="0"/>
            </w:pPr>
            <w:r w:rsidRPr="00BA4F7F">
              <w:rPr>
                <w:color w:val="1E1E1E"/>
                <w:sz w:val="16"/>
              </w:rPr>
              <w:t>Alert krytyczny</w:t>
            </w:r>
          </w:p>
        </w:tc>
        <w:tc>
          <w:tcPr>
            <w:tcW w:w="3096" w:type="dxa"/>
            <w:tcMar>
              <w:top w:w="70" w:type="dxa"/>
              <w:left w:w="85" w:type="dxa"/>
              <w:bottom w:w="70" w:type="dxa"/>
              <w:right w:w="85" w:type="dxa"/>
            </w:tcMar>
            <w:vAlign w:val="center"/>
          </w:tcPr>
          <w:p w14:paraId="5F1133D4" w14:textId="77777777" w:rsidR="003357E9" w:rsidRPr="00BA4F7F" w:rsidRDefault="00000000">
            <w:pPr>
              <w:spacing w:after="0"/>
            </w:pPr>
            <w:proofErr w:type="spellStart"/>
            <w:r w:rsidRPr="00BA4F7F">
              <w:rPr>
                <w:color w:val="1E1E1E"/>
                <w:sz w:val="16"/>
              </w:rPr>
              <w:t>subobszar</w:t>
            </w:r>
            <w:proofErr w:type="spellEnd"/>
            <w:r w:rsidRPr="00BA4F7F">
              <w:rPr>
                <w:color w:val="1E1E1E"/>
                <w:sz w:val="16"/>
              </w:rPr>
              <w:t xml:space="preserve"> &lt;20 pkt</w:t>
            </w:r>
          </w:p>
        </w:tc>
        <w:tc>
          <w:tcPr>
            <w:tcW w:w="4176" w:type="dxa"/>
            <w:tcMar>
              <w:top w:w="70" w:type="dxa"/>
              <w:left w:w="85" w:type="dxa"/>
              <w:bottom w:w="70" w:type="dxa"/>
              <w:right w:w="85" w:type="dxa"/>
            </w:tcMar>
            <w:vAlign w:val="center"/>
          </w:tcPr>
          <w:p w14:paraId="31FE2D93" w14:textId="77777777" w:rsidR="003357E9" w:rsidRPr="00BA4F7F" w:rsidRDefault="00000000">
            <w:pPr>
              <w:spacing w:after="0"/>
            </w:pPr>
            <w:r w:rsidRPr="00BA4F7F">
              <w:rPr>
                <w:color w:val="1E1E1E"/>
                <w:sz w:val="16"/>
              </w:rPr>
              <w:t>słabość skrajna, której nie może przesłonić średnia</w:t>
            </w:r>
          </w:p>
        </w:tc>
      </w:tr>
      <w:tr w:rsidR="003357E9" w:rsidRPr="00BA4F7F" w14:paraId="4070C01D" w14:textId="77777777">
        <w:trPr>
          <w:cantSplit/>
          <w:jc w:val="center"/>
        </w:trPr>
        <w:tc>
          <w:tcPr>
            <w:tcW w:w="2232" w:type="dxa"/>
            <w:shd w:val="clear" w:color="auto" w:fill="EDF1F4"/>
            <w:tcMar>
              <w:top w:w="70" w:type="dxa"/>
              <w:left w:w="85" w:type="dxa"/>
              <w:bottom w:w="70" w:type="dxa"/>
              <w:right w:w="85" w:type="dxa"/>
            </w:tcMar>
            <w:vAlign w:val="center"/>
          </w:tcPr>
          <w:p w14:paraId="1C0C8F90" w14:textId="77777777" w:rsidR="003357E9" w:rsidRPr="00BA4F7F" w:rsidRDefault="00000000">
            <w:pPr>
              <w:spacing w:after="0"/>
            </w:pPr>
            <w:r w:rsidRPr="00BA4F7F">
              <w:rPr>
                <w:color w:val="1E1E1E"/>
                <w:sz w:val="16"/>
              </w:rPr>
              <w:t>Alert wysokiego ryzyka</w:t>
            </w:r>
          </w:p>
        </w:tc>
        <w:tc>
          <w:tcPr>
            <w:tcW w:w="3096" w:type="dxa"/>
            <w:shd w:val="clear" w:color="auto" w:fill="EDF1F4"/>
            <w:tcMar>
              <w:top w:w="70" w:type="dxa"/>
              <w:left w:w="85" w:type="dxa"/>
              <w:bottom w:w="70" w:type="dxa"/>
              <w:right w:w="85" w:type="dxa"/>
            </w:tcMar>
            <w:vAlign w:val="center"/>
          </w:tcPr>
          <w:p w14:paraId="28EC55C4" w14:textId="77777777" w:rsidR="003357E9" w:rsidRPr="00BA4F7F" w:rsidRDefault="00000000">
            <w:pPr>
              <w:spacing w:after="0"/>
            </w:pPr>
            <w:proofErr w:type="spellStart"/>
            <w:r w:rsidRPr="00BA4F7F">
              <w:rPr>
                <w:color w:val="1E1E1E"/>
                <w:sz w:val="16"/>
              </w:rPr>
              <w:t>subobszar</w:t>
            </w:r>
            <w:proofErr w:type="spellEnd"/>
            <w:r w:rsidRPr="00BA4F7F">
              <w:rPr>
                <w:color w:val="1E1E1E"/>
                <w:sz w:val="16"/>
              </w:rPr>
              <w:t xml:space="preserve"> lub </w:t>
            </w:r>
            <w:proofErr w:type="spellStart"/>
            <w:r w:rsidRPr="00BA4F7F">
              <w:rPr>
                <w:color w:val="1E1E1E"/>
                <w:sz w:val="16"/>
              </w:rPr>
              <w:t>subindeks</w:t>
            </w:r>
            <w:proofErr w:type="spellEnd"/>
            <w:r w:rsidRPr="00BA4F7F">
              <w:rPr>
                <w:color w:val="1E1E1E"/>
                <w:sz w:val="16"/>
              </w:rPr>
              <w:t xml:space="preserve"> &lt;40 pkt</w:t>
            </w:r>
          </w:p>
        </w:tc>
        <w:tc>
          <w:tcPr>
            <w:tcW w:w="4176" w:type="dxa"/>
            <w:shd w:val="clear" w:color="auto" w:fill="EDF1F4"/>
            <w:tcMar>
              <w:top w:w="70" w:type="dxa"/>
              <w:left w:w="85" w:type="dxa"/>
              <w:bottom w:w="70" w:type="dxa"/>
              <w:right w:w="85" w:type="dxa"/>
            </w:tcMar>
            <w:vAlign w:val="center"/>
          </w:tcPr>
          <w:p w14:paraId="0DA2FA80" w14:textId="77777777" w:rsidR="003357E9" w:rsidRPr="00BA4F7F" w:rsidRDefault="00000000">
            <w:pPr>
              <w:spacing w:after="0"/>
            </w:pPr>
            <w:r w:rsidRPr="00BA4F7F">
              <w:rPr>
                <w:color w:val="1E1E1E"/>
                <w:sz w:val="16"/>
              </w:rPr>
              <w:t>poziom istotnie ograniczający zdolności państwa</w:t>
            </w:r>
          </w:p>
        </w:tc>
      </w:tr>
      <w:tr w:rsidR="003357E9" w:rsidRPr="00BA4F7F" w14:paraId="32C91D94" w14:textId="77777777">
        <w:trPr>
          <w:cantSplit/>
          <w:jc w:val="center"/>
        </w:trPr>
        <w:tc>
          <w:tcPr>
            <w:tcW w:w="2232" w:type="dxa"/>
            <w:tcMar>
              <w:top w:w="70" w:type="dxa"/>
              <w:left w:w="85" w:type="dxa"/>
              <w:bottom w:w="70" w:type="dxa"/>
              <w:right w:w="85" w:type="dxa"/>
            </w:tcMar>
            <w:vAlign w:val="center"/>
          </w:tcPr>
          <w:p w14:paraId="4086FA8B" w14:textId="77777777" w:rsidR="003357E9" w:rsidRPr="00BA4F7F" w:rsidRDefault="00000000">
            <w:pPr>
              <w:spacing w:after="0"/>
            </w:pPr>
            <w:r w:rsidRPr="00BA4F7F">
              <w:rPr>
                <w:color w:val="1E1E1E"/>
                <w:sz w:val="16"/>
              </w:rPr>
              <w:t>Alert dynamiczny</w:t>
            </w:r>
          </w:p>
        </w:tc>
        <w:tc>
          <w:tcPr>
            <w:tcW w:w="3096" w:type="dxa"/>
            <w:tcMar>
              <w:top w:w="70" w:type="dxa"/>
              <w:left w:w="85" w:type="dxa"/>
              <w:bottom w:w="70" w:type="dxa"/>
              <w:right w:w="85" w:type="dxa"/>
            </w:tcMar>
            <w:vAlign w:val="center"/>
          </w:tcPr>
          <w:p w14:paraId="15467074" w14:textId="77777777" w:rsidR="003357E9" w:rsidRPr="00BA4F7F" w:rsidRDefault="00000000">
            <w:pPr>
              <w:spacing w:after="0"/>
            </w:pPr>
            <w:r w:rsidRPr="00BA4F7F">
              <w:rPr>
                <w:color w:val="1E1E1E"/>
                <w:sz w:val="16"/>
              </w:rPr>
              <w:t>próg r/r zależny od poziomu agregacji</w:t>
            </w:r>
          </w:p>
        </w:tc>
        <w:tc>
          <w:tcPr>
            <w:tcW w:w="4176" w:type="dxa"/>
            <w:tcMar>
              <w:top w:w="70" w:type="dxa"/>
              <w:left w:w="85" w:type="dxa"/>
              <w:bottom w:w="70" w:type="dxa"/>
              <w:right w:w="85" w:type="dxa"/>
            </w:tcMar>
            <w:vAlign w:val="center"/>
          </w:tcPr>
          <w:p w14:paraId="4A54D055" w14:textId="77777777" w:rsidR="003357E9" w:rsidRPr="00BA4F7F" w:rsidRDefault="00000000">
            <w:pPr>
              <w:spacing w:after="0"/>
            </w:pPr>
            <w:r w:rsidRPr="00BA4F7F">
              <w:rPr>
                <w:color w:val="1E1E1E"/>
                <w:sz w:val="16"/>
              </w:rPr>
              <w:t>wychwytuje gwałtowną zmianę ostatniego roku</w:t>
            </w:r>
          </w:p>
        </w:tc>
      </w:tr>
      <w:tr w:rsidR="003357E9" w:rsidRPr="00BA4F7F" w14:paraId="4F7A4FE6" w14:textId="77777777">
        <w:trPr>
          <w:cantSplit/>
          <w:jc w:val="center"/>
        </w:trPr>
        <w:tc>
          <w:tcPr>
            <w:tcW w:w="2232" w:type="dxa"/>
            <w:shd w:val="clear" w:color="auto" w:fill="EDF1F4"/>
            <w:tcMar>
              <w:top w:w="70" w:type="dxa"/>
              <w:left w:w="85" w:type="dxa"/>
              <w:bottom w:w="70" w:type="dxa"/>
              <w:right w:w="85" w:type="dxa"/>
            </w:tcMar>
            <w:vAlign w:val="center"/>
          </w:tcPr>
          <w:p w14:paraId="6880824B" w14:textId="77777777" w:rsidR="003357E9" w:rsidRPr="00BA4F7F" w:rsidRDefault="00000000">
            <w:pPr>
              <w:spacing w:after="0"/>
            </w:pPr>
            <w:r w:rsidRPr="00BA4F7F">
              <w:rPr>
                <w:color w:val="1E1E1E"/>
                <w:sz w:val="16"/>
              </w:rPr>
              <w:t>Pogorszenie strukturalne</w:t>
            </w:r>
          </w:p>
        </w:tc>
        <w:tc>
          <w:tcPr>
            <w:tcW w:w="3096" w:type="dxa"/>
            <w:shd w:val="clear" w:color="auto" w:fill="EDF1F4"/>
            <w:tcMar>
              <w:top w:w="70" w:type="dxa"/>
              <w:left w:w="85" w:type="dxa"/>
              <w:bottom w:w="70" w:type="dxa"/>
              <w:right w:w="85" w:type="dxa"/>
            </w:tcMar>
            <w:vAlign w:val="center"/>
          </w:tcPr>
          <w:p w14:paraId="251354AF" w14:textId="77777777" w:rsidR="003357E9" w:rsidRPr="00BA4F7F" w:rsidRDefault="00000000">
            <w:pPr>
              <w:spacing w:after="0"/>
            </w:pPr>
            <w:r w:rsidRPr="00BA4F7F">
              <w:rPr>
                <w:color w:val="1E1E1E"/>
                <w:sz w:val="16"/>
              </w:rPr>
              <w:t>ruchome 3 lata + co najmniej 2 spadki</w:t>
            </w:r>
          </w:p>
        </w:tc>
        <w:tc>
          <w:tcPr>
            <w:tcW w:w="4176" w:type="dxa"/>
            <w:shd w:val="clear" w:color="auto" w:fill="EDF1F4"/>
            <w:tcMar>
              <w:top w:w="70" w:type="dxa"/>
              <w:left w:w="85" w:type="dxa"/>
              <w:bottom w:w="70" w:type="dxa"/>
              <w:right w:w="85" w:type="dxa"/>
            </w:tcMar>
            <w:vAlign w:val="center"/>
          </w:tcPr>
          <w:p w14:paraId="71A48474" w14:textId="77777777" w:rsidR="003357E9" w:rsidRPr="00BA4F7F" w:rsidRDefault="00000000">
            <w:pPr>
              <w:spacing w:after="0"/>
            </w:pPr>
            <w:r w:rsidRPr="00BA4F7F">
              <w:rPr>
                <w:color w:val="1E1E1E"/>
                <w:sz w:val="16"/>
              </w:rPr>
              <w:t>oddziela trwałą trajektorię od jednorazowego wahania</w:t>
            </w:r>
          </w:p>
        </w:tc>
      </w:tr>
      <w:tr w:rsidR="003357E9" w:rsidRPr="00BA4F7F" w14:paraId="3C362B03" w14:textId="77777777">
        <w:trPr>
          <w:cantSplit/>
          <w:jc w:val="center"/>
        </w:trPr>
        <w:tc>
          <w:tcPr>
            <w:tcW w:w="2232" w:type="dxa"/>
            <w:tcMar>
              <w:top w:w="70" w:type="dxa"/>
              <w:left w:w="85" w:type="dxa"/>
              <w:bottom w:w="70" w:type="dxa"/>
              <w:right w:w="85" w:type="dxa"/>
            </w:tcMar>
            <w:vAlign w:val="center"/>
          </w:tcPr>
          <w:p w14:paraId="22580AD7" w14:textId="77777777" w:rsidR="003357E9" w:rsidRPr="00BA4F7F" w:rsidRDefault="00000000">
            <w:pPr>
              <w:spacing w:after="0"/>
            </w:pPr>
            <w:r w:rsidRPr="00BA4F7F">
              <w:rPr>
                <w:color w:val="1E1E1E"/>
                <w:sz w:val="16"/>
              </w:rPr>
              <w:t>Trwała słabość</w:t>
            </w:r>
          </w:p>
        </w:tc>
        <w:tc>
          <w:tcPr>
            <w:tcW w:w="3096" w:type="dxa"/>
            <w:tcMar>
              <w:top w:w="70" w:type="dxa"/>
              <w:left w:w="85" w:type="dxa"/>
              <w:bottom w:w="70" w:type="dxa"/>
              <w:right w:w="85" w:type="dxa"/>
            </w:tcMar>
            <w:vAlign w:val="center"/>
          </w:tcPr>
          <w:p w14:paraId="26A49D3E" w14:textId="77777777" w:rsidR="003357E9" w:rsidRPr="00BA4F7F" w:rsidRDefault="00000000">
            <w:pPr>
              <w:spacing w:after="0"/>
            </w:pPr>
            <w:proofErr w:type="spellStart"/>
            <w:r w:rsidRPr="00BA4F7F">
              <w:rPr>
                <w:color w:val="1E1E1E"/>
                <w:sz w:val="16"/>
              </w:rPr>
              <w:t>subobszar</w:t>
            </w:r>
            <w:proofErr w:type="spellEnd"/>
            <w:r w:rsidRPr="00BA4F7F">
              <w:rPr>
                <w:color w:val="1E1E1E"/>
                <w:sz w:val="16"/>
              </w:rPr>
              <w:t xml:space="preserve"> &lt;50 pkt przez 3 lata</w:t>
            </w:r>
          </w:p>
        </w:tc>
        <w:tc>
          <w:tcPr>
            <w:tcW w:w="4176" w:type="dxa"/>
            <w:tcMar>
              <w:top w:w="70" w:type="dxa"/>
              <w:left w:w="85" w:type="dxa"/>
              <w:bottom w:w="70" w:type="dxa"/>
              <w:right w:w="85" w:type="dxa"/>
            </w:tcMar>
            <w:vAlign w:val="center"/>
          </w:tcPr>
          <w:p w14:paraId="143123C6" w14:textId="77777777" w:rsidR="003357E9" w:rsidRPr="00BA4F7F" w:rsidRDefault="00000000">
            <w:pPr>
              <w:spacing w:after="0"/>
            </w:pPr>
            <w:r w:rsidRPr="00BA4F7F">
              <w:rPr>
                <w:color w:val="1E1E1E"/>
                <w:sz w:val="16"/>
              </w:rPr>
              <w:t>sygnał pomocniczy wymagający komentarza</w:t>
            </w:r>
          </w:p>
        </w:tc>
      </w:tr>
    </w:tbl>
    <w:p w14:paraId="3C6CF28F" w14:textId="77777777" w:rsidR="001A7966" w:rsidRPr="00BA4F7F" w:rsidRDefault="001A7966" w:rsidP="001A7966">
      <w:pPr>
        <w:pStyle w:val="IRSHeading2"/>
        <w:keepLines/>
        <w:rPr>
          <w:lang w:val="pl-PL"/>
        </w:rPr>
      </w:pPr>
      <w:r w:rsidRPr="00BA4F7F">
        <w:rPr>
          <w:lang w:val="pl-PL"/>
        </w:rPr>
        <w:lastRenderedPageBreak/>
        <w:t>Zakres zastosowania</w:t>
      </w:r>
    </w:p>
    <w:p w14:paraId="3AA222F4" w14:textId="77777777" w:rsidR="001A7966" w:rsidRPr="00BA4F7F" w:rsidRDefault="001A7966" w:rsidP="001A7966">
      <w:r w:rsidRPr="00BA4F7F">
        <w:t>IRS służy do:</w:t>
      </w:r>
    </w:p>
    <w:p w14:paraId="7923BDA8" w14:textId="77777777" w:rsidR="001A7966" w:rsidRPr="00BA4F7F" w:rsidRDefault="001A7966" w:rsidP="001A7966">
      <w:pPr>
        <w:pStyle w:val="Listapunktowana"/>
        <w:spacing w:after="40" w:line="259" w:lineRule="auto"/>
        <w:ind w:left="255" w:hanging="113"/>
        <w:jc w:val="left"/>
      </w:pPr>
      <w:r w:rsidRPr="00BA4F7F">
        <w:t>monitorowania trendów strategicznych;</w:t>
      </w:r>
    </w:p>
    <w:p w14:paraId="6B2FE01F" w14:textId="77777777" w:rsidR="001A7966" w:rsidRPr="00BA4F7F" w:rsidRDefault="001A7966" w:rsidP="001A7966">
      <w:pPr>
        <w:pStyle w:val="Listapunktowana"/>
        <w:spacing w:after="40" w:line="259" w:lineRule="auto"/>
        <w:ind w:left="255" w:hanging="113"/>
        <w:jc w:val="left"/>
      </w:pPr>
      <w:r w:rsidRPr="00BA4F7F">
        <w:t xml:space="preserve">identyfikowania słabych ogniw i </w:t>
      </w:r>
      <w:proofErr w:type="spellStart"/>
      <w:r w:rsidRPr="00BA4F7F">
        <w:t>ryzyk</w:t>
      </w:r>
      <w:proofErr w:type="spellEnd"/>
      <w:r w:rsidRPr="00BA4F7F">
        <w:t xml:space="preserve"> strukturalnych;</w:t>
      </w:r>
    </w:p>
    <w:p w14:paraId="26B5FC79" w14:textId="77777777" w:rsidR="001A7966" w:rsidRPr="00BA4F7F" w:rsidRDefault="001A7966" w:rsidP="001A7966">
      <w:pPr>
        <w:pStyle w:val="Listapunktowana"/>
        <w:spacing w:after="40" w:line="259" w:lineRule="auto"/>
        <w:ind w:left="255" w:hanging="113"/>
        <w:jc w:val="left"/>
      </w:pPr>
      <w:r w:rsidRPr="00BA4F7F">
        <w:t>porównywania wyników Polski między latami w ramach stabilnej metodologii;</w:t>
      </w:r>
    </w:p>
    <w:p w14:paraId="2EA3877F" w14:textId="77777777" w:rsidR="001A7966" w:rsidRPr="00BA4F7F" w:rsidRDefault="001A7966" w:rsidP="001A7966">
      <w:pPr>
        <w:pStyle w:val="Listapunktowana"/>
        <w:spacing w:after="40" w:line="259" w:lineRule="auto"/>
        <w:ind w:left="255" w:hanging="113"/>
        <w:jc w:val="left"/>
      </w:pPr>
      <w:r w:rsidRPr="00BA4F7F">
        <w:t>porządkowania ocen projektów i instytucji;</w:t>
      </w:r>
    </w:p>
    <w:p w14:paraId="5291EF4C" w14:textId="77777777" w:rsidR="001A7966" w:rsidRPr="00BA4F7F" w:rsidRDefault="001A7966" w:rsidP="001A7966">
      <w:pPr>
        <w:pStyle w:val="Listapunktowana"/>
        <w:spacing w:after="40" w:line="259" w:lineRule="auto"/>
        <w:ind w:left="255" w:hanging="113"/>
        <w:jc w:val="left"/>
      </w:pPr>
      <w:r w:rsidRPr="00BA4F7F">
        <w:t>wskazywania obszarów wymagających pogłębionej analizy.</w:t>
      </w:r>
    </w:p>
    <w:p w14:paraId="4396207C" w14:textId="77777777" w:rsidR="001A7966" w:rsidRPr="00BA4F7F" w:rsidRDefault="001A7966" w:rsidP="001A7966">
      <w:r w:rsidRPr="00BA4F7F">
        <w:t>IRS nie służy natomiast do:</w:t>
      </w:r>
    </w:p>
    <w:p w14:paraId="716901C5" w14:textId="77777777" w:rsidR="001A7966" w:rsidRPr="00BA4F7F" w:rsidRDefault="001A7966" w:rsidP="001A7966">
      <w:pPr>
        <w:pStyle w:val="Listapunktowana"/>
        <w:spacing w:after="40" w:line="259" w:lineRule="auto"/>
        <w:ind w:left="255" w:hanging="113"/>
        <w:jc w:val="left"/>
      </w:pPr>
      <w:r w:rsidRPr="00BA4F7F">
        <w:t>prostego rankingu bieżącej skuteczności lub popularności rządu;</w:t>
      </w:r>
    </w:p>
    <w:p w14:paraId="6475E2C4" w14:textId="77777777" w:rsidR="001A7966" w:rsidRPr="00BA4F7F" w:rsidRDefault="001A7966" w:rsidP="001A7966">
      <w:pPr>
        <w:pStyle w:val="Listapunktowana"/>
        <w:spacing w:after="40" w:line="259" w:lineRule="auto"/>
        <w:ind w:left="255" w:hanging="113"/>
        <w:jc w:val="left"/>
      </w:pPr>
      <w:r w:rsidRPr="00BA4F7F">
        <w:t>zastępowania analiz sektorowych, audytów projektowych lub ocen prawnych;</w:t>
      </w:r>
    </w:p>
    <w:p w14:paraId="19897151" w14:textId="77777777" w:rsidR="001A7966" w:rsidRPr="00BA4F7F" w:rsidRDefault="001A7966" w:rsidP="001A7966">
      <w:pPr>
        <w:pStyle w:val="Listapunktowana"/>
        <w:spacing w:after="40" w:line="259" w:lineRule="auto"/>
        <w:ind w:left="255" w:hanging="113"/>
        <w:jc w:val="left"/>
      </w:pPr>
      <w:r w:rsidRPr="00BA4F7F">
        <w:t>automatycznego dowodzenia związku przyczynowego między decyzją polityczną a zmianą wyniku;</w:t>
      </w:r>
    </w:p>
    <w:p w14:paraId="48CCEA6C" w14:textId="77777777" w:rsidR="001A7966" w:rsidRPr="00BA4F7F" w:rsidRDefault="001A7966" w:rsidP="001A7966">
      <w:pPr>
        <w:pStyle w:val="Listapunktowana"/>
        <w:spacing w:after="40" w:line="259" w:lineRule="auto"/>
        <w:ind w:left="255" w:hanging="113"/>
        <w:jc w:val="left"/>
      </w:pPr>
      <w:r w:rsidRPr="00BA4F7F">
        <w:t>mechanicznego porównywania Polski z innymi państwami bez dostosowania progów, definicji i wag;</w:t>
      </w:r>
    </w:p>
    <w:p w14:paraId="7849FB56" w14:textId="77777777" w:rsidR="001A7966" w:rsidRPr="00BA4F7F" w:rsidRDefault="001A7966" w:rsidP="001A7966">
      <w:pPr>
        <w:pStyle w:val="Listapunktowana"/>
        <w:spacing w:after="40" w:line="259" w:lineRule="auto"/>
        <w:ind w:left="255" w:hanging="113"/>
        <w:jc w:val="left"/>
      </w:pPr>
      <w:r w:rsidRPr="00BA4F7F">
        <w:t>interpretowania wyniku głównego bez analizy jego składowych.</w:t>
      </w:r>
    </w:p>
    <w:tbl>
      <w:tblPr>
        <w:tblW w:w="0" w:type="auto"/>
        <w:jc w:val="center"/>
        <w:tblLayout w:type="fixed"/>
        <w:tblLook w:val="04A0" w:firstRow="1" w:lastRow="0" w:firstColumn="1" w:lastColumn="0" w:noHBand="0" w:noVBand="1"/>
      </w:tblPr>
      <w:tblGrid>
        <w:gridCol w:w="9411"/>
      </w:tblGrid>
      <w:tr w:rsidR="001A7966" w:rsidRPr="00BA4F7F" w14:paraId="1E8E68C1" w14:textId="77777777" w:rsidTr="008E56FA">
        <w:trPr>
          <w:cantSplit/>
          <w:jc w:val="center"/>
        </w:trPr>
        <w:tc>
          <w:tcPr>
            <w:tcW w:w="9411" w:type="dxa"/>
            <w:shd w:val="clear" w:color="auto" w:fill="D9EAF7"/>
            <w:tcMar>
              <w:top w:w="130" w:type="dxa"/>
              <w:left w:w="180" w:type="dxa"/>
              <w:bottom w:w="130" w:type="dxa"/>
              <w:right w:w="180" w:type="dxa"/>
            </w:tcMar>
            <w:vAlign w:val="center"/>
          </w:tcPr>
          <w:p w14:paraId="493C04BB" w14:textId="77777777" w:rsidR="001A7966" w:rsidRPr="00BA4F7F" w:rsidRDefault="001A7966" w:rsidP="008E56FA">
            <w:pPr>
              <w:spacing w:after="0"/>
            </w:pPr>
            <w:r w:rsidRPr="00BA4F7F">
              <w:rPr>
                <w:rFonts w:ascii="Aptos" w:hAnsi="Aptos"/>
                <w:b/>
                <w:color w:val="1F4E79"/>
                <w:sz w:val="21"/>
              </w:rPr>
              <w:t>IRS należy rozumieć jako narzędzie diagnozy i wczesnego ostrzegania. Wynik główny porządkuje obraz państwa, lecz właściwa wartość analityczna indeksu wynika z możliwości wskazania, które zasoby, procesy, projekty lub instytucje odpowiadają za poprawę, pogorszenie albo utrwalenie ryzyka.</w:t>
            </w:r>
          </w:p>
        </w:tc>
      </w:tr>
    </w:tbl>
    <w:p w14:paraId="58558064" w14:textId="77777777" w:rsidR="00843C23" w:rsidRPr="00BA4F7F" w:rsidRDefault="00843C23" w:rsidP="001A7966">
      <w:pPr>
        <w:spacing w:line="259" w:lineRule="auto"/>
      </w:pPr>
    </w:p>
    <w:p w14:paraId="632B52B8" w14:textId="77777777" w:rsidR="00843C23" w:rsidRPr="00BA4F7F" w:rsidRDefault="00000000">
      <w:pPr>
        <w:spacing w:line="259" w:lineRule="auto"/>
      </w:pPr>
      <w:r w:rsidRPr="00BA4F7F">
        <w:br w:type="page"/>
      </w:r>
    </w:p>
    <w:p w14:paraId="1011473F" w14:textId="77777777" w:rsidR="003357E9" w:rsidRPr="00BA4F7F" w:rsidRDefault="00000000">
      <w:pPr>
        <w:pStyle w:val="Nagwek1"/>
      </w:pPr>
      <w:bookmarkStart w:id="6" w:name="_Toc236400273"/>
      <w:bookmarkStart w:id="7" w:name="_Toc236400500"/>
      <w:r w:rsidRPr="00BA4F7F">
        <w:lastRenderedPageBreak/>
        <w:t>4. Ograniczenia i rozwój modelu</w:t>
      </w:r>
      <w:bookmarkEnd w:id="6"/>
      <w:bookmarkEnd w:id="7"/>
    </w:p>
    <w:p w14:paraId="01E6ECAB" w14:textId="77777777" w:rsidR="003357E9" w:rsidRPr="00BA4F7F" w:rsidRDefault="00000000">
      <w:r w:rsidRPr="00BA4F7F">
        <w:t>IRS nie obejmuje wszystkich możliwych wymiarów funkcjonowania państwa. Dobór wskaźników, progów i wag ma charakter normatywno-strategiczny</w:t>
      </w:r>
      <w:r w:rsidR="00F616CD">
        <w:t xml:space="preserve">. </w:t>
      </w:r>
      <w:r w:rsidRPr="00BA4F7F">
        <w:t>Część zjawisk – zwłaszcza jakość instytucji, zarządzania projektami i odporności – jest trudno mierzalna i wymaga uporządkowanej oceny eksperck</w:t>
      </w:r>
      <w:r w:rsidR="00F616CD">
        <w:t>iej.</w:t>
      </w:r>
    </w:p>
    <w:p w14:paraId="1312191E" w14:textId="77777777" w:rsidR="003357E9" w:rsidRPr="00BA4F7F" w:rsidRDefault="00000000">
      <w:r w:rsidRPr="00BA4F7F">
        <w:t>Dostępność i termin publikacji danych ograniczają aktualność części wskaźników. Wartości syntetyczne upraszczają złożoną rzeczywistość, a agregacja może częściowo maskować słabe ogniwa; dlatego model wykorzystuje warstwę alertową i wymaga zejścia do poziomu komponentów. Wynik nie dowodzi automatycznie, że konkretna decyzja polityczna spowodowała obserwowaną zmianę.</w:t>
      </w:r>
    </w:p>
    <w:p w14:paraId="385A41D5" w14:textId="77777777" w:rsidR="003357E9" w:rsidRPr="00BA4F7F" w:rsidRDefault="00000000">
      <w:r w:rsidRPr="00BA4F7F">
        <w:t>Porównywanie gospodarki, demografii, bezpieczeństwa, projektów i instytucji na jednej skali jest użyteczne dla hierarchizacji problemów, lecz nie oznacza pełnej równoważności tych zjawisk. Pierwsza edycja wymaga dalszych testów wrażliwości, dłuższego szeregu czasowego, recenzji eksperckiej oraz oceny, czy niektóre elementy są redundantne albo czy w modelu pozostają luki pomiarowe.</w:t>
      </w:r>
    </w:p>
    <w:p w14:paraId="799C601E" w14:textId="77777777" w:rsidR="003357E9" w:rsidRPr="00BA4F7F" w:rsidRDefault="00000000">
      <w:r w:rsidRPr="00BA4F7F">
        <w:t>Autorzy mają świadomość, że jeden model nie może uchwycić wszystkich aspektów zdolności państwa. Celem IRS nie jest zamknięcie debaty definitywnym wynikiem, lecz stworzenie jawnych, uporządkowanych i odtwarzalnych ram dla bardziej rzetelnej dyskusji</w:t>
      </w:r>
      <w:r w:rsidR="00F616CD">
        <w:t xml:space="preserve"> na tematy kluczowe dla Rzeczypospolitej</w:t>
      </w:r>
      <w:r w:rsidRPr="00BA4F7F">
        <w:t>. Kolejne edycje będą rozwijane zgodnie</w:t>
      </w:r>
      <w:r w:rsidR="00F616CD">
        <w:t xml:space="preserve"> z kierunkiem zgłaszanych uwag, recenzji oraz debaty eksperckiej – do czego zachęcamy.</w:t>
      </w:r>
      <w:r w:rsidRPr="00BA4F7F">
        <w:t xml:space="preserve"> </w:t>
      </w:r>
    </w:p>
    <w:p w14:paraId="7F2053A2" w14:textId="77777777" w:rsidR="003357E9" w:rsidRPr="00BA4F7F" w:rsidRDefault="00000000">
      <w:r w:rsidRPr="00BA4F7F">
        <w:t>Według wiedzy autorów IRS jest pierwszą w Polsce próbą o tak szerokim zakresie, która łączy dane gospodarcze, demograficzne, społeczne i bezpieczeństwa z oceną projektów strategicznych oraz jakości instytucjonalnej w jednej architekturze podporządkowanej idei racji stanu. Część tych zjawisk jest trudno mierzalna, ale rezygnacja z próby ich uporządkowania pozostawiałaby debatę strategiczną w sferze intuicji i doraźnej publicystyki. W interesie Rzeczypospolitej leży podejmowanie metodologicznie kontrolowanej próby jakościowego wzmacniania tej dyskusji.</w:t>
      </w:r>
    </w:p>
    <w:p w14:paraId="16356E0F" w14:textId="77777777" w:rsidR="00843C23" w:rsidRPr="00BA4F7F" w:rsidRDefault="00000000">
      <w:pPr>
        <w:pStyle w:val="ChapterKicker"/>
        <w:keepNext/>
        <w:keepLines/>
        <w:pageBreakBefore/>
        <w:rPr>
          <w:lang w:val="pl-PL"/>
        </w:rPr>
      </w:pPr>
      <w:r w:rsidRPr="00BA4F7F">
        <w:rPr>
          <w:lang w:val="pl-PL"/>
        </w:rPr>
        <w:lastRenderedPageBreak/>
        <w:t>CZĘŚĆ I</w:t>
      </w:r>
    </w:p>
    <w:p w14:paraId="1ACBE0D6" w14:textId="77777777" w:rsidR="00843C23" w:rsidRPr="00BA4F7F" w:rsidRDefault="00000000">
      <w:pPr>
        <w:pStyle w:val="Nagwek1"/>
        <w:spacing w:before="0"/>
      </w:pPr>
      <w:bookmarkStart w:id="8" w:name="_Toc236400274"/>
      <w:bookmarkStart w:id="9" w:name="_Toc236400501"/>
      <w:r w:rsidRPr="00BA4F7F">
        <w:t>5. Filar I – Kondycja systemowa</w:t>
      </w:r>
      <w:bookmarkEnd w:id="8"/>
      <w:bookmarkEnd w:id="9"/>
    </w:p>
    <w:tbl>
      <w:tblPr>
        <w:tblW w:w="0" w:type="auto"/>
        <w:tblLayout w:type="fixed"/>
        <w:tblLook w:val="04A0" w:firstRow="1" w:lastRow="0" w:firstColumn="1" w:lastColumn="0" w:noHBand="0" w:noVBand="1"/>
      </w:tblPr>
      <w:tblGrid>
        <w:gridCol w:w="1872"/>
        <w:gridCol w:w="7200"/>
      </w:tblGrid>
      <w:tr w:rsidR="00843C23" w:rsidRPr="00BA4F7F" w14:paraId="0BC9F757" w14:textId="77777777">
        <w:trPr>
          <w:cantSplit/>
        </w:trPr>
        <w:tc>
          <w:tcPr>
            <w:tcW w:w="1872" w:type="dxa"/>
            <w:shd w:val="clear" w:color="auto" w:fill="1F4E79"/>
            <w:vAlign w:val="center"/>
          </w:tcPr>
          <w:p w14:paraId="1A7D2BBD" w14:textId="77777777" w:rsidR="00843C23" w:rsidRPr="00BA4F7F" w:rsidRDefault="00000000">
            <w:pPr>
              <w:jc w:val="center"/>
            </w:pPr>
            <w:r w:rsidRPr="00BA4F7F">
              <w:rPr>
                <w:b/>
                <w:color w:val="FFFFFF"/>
                <w:sz w:val="48"/>
              </w:rPr>
              <w:t>55,5</w:t>
            </w:r>
          </w:p>
        </w:tc>
        <w:tc>
          <w:tcPr>
            <w:tcW w:w="7200" w:type="dxa"/>
            <w:shd w:val="clear" w:color="auto" w:fill="F3F6F9"/>
            <w:vAlign w:val="center"/>
          </w:tcPr>
          <w:p w14:paraId="4F03BBC3" w14:textId="77777777" w:rsidR="00843C23" w:rsidRPr="00BA4F7F" w:rsidRDefault="00000000">
            <w:r w:rsidRPr="00BA4F7F">
              <w:rPr>
                <w:b/>
                <w:color w:val="17365D"/>
                <w:sz w:val="22"/>
              </w:rPr>
              <w:t>słaba lub niepełna odporność</w:t>
            </w:r>
          </w:p>
          <w:p w14:paraId="5D471A54" w14:textId="77777777" w:rsidR="00843C23" w:rsidRPr="00BA4F7F" w:rsidRDefault="00000000">
            <w:r w:rsidRPr="00BA4F7F">
              <w:rPr>
                <w:color w:val="666666"/>
                <w:sz w:val="16"/>
              </w:rPr>
              <w:t>Ocena w skali 0–100 pkt.</w:t>
            </w:r>
          </w:p>
        </w:tc>
      </w:tr>
    </w:tbl>
    <w:p w14:paraId="5E226A85" w14:textId="77777777" w:rsidR="00E2541F" w:rsidRPr="00BA4F7F" w:rsidRDefault="00E2541F" w:rsidP="00E2541F">
      <w:pPr>
        <w:pStyle w:val="Lead"/>
        <w:keepNext/>
        <w:rPr>
          <w:lang w:val="pl-PL"/>
        </w:rPr>
      </w:pPr>
      <w:r w:rsidRPr="00BA4F7F">
        <w:rPr>
          <w:lang w:val="pl-PL"/>
        </w:rPr>
        <w:t>Polska zachowuje znaczną zdolność mobilizacji i absorpcji wstrząsów, lecz jej kondycja systemowa staje się coraz bardziej asymetryczna: bezpieczeństwo i bieżąca aktywność gospodarcza wzmacniają państwo szybciej, niż odtwarzane są zasoby ludnościowe, fiskalne i wspólnotowe.</w:t>
      </w:r>
    </w:p>
    <w:tbl>
      <w:tblPr>
        <w:tblStyle w:val="Tabela-Siatka"/>
        <w:tblW w:w="0" w:type="auto"/>
        <w:jc w:val="center"/>
        <w:tblLayout w:type="fixed"/>
        <w:tblLook w:val="04A0" w:firstRow="1" w:lastRow="0" w:firstColumn="1" w:lastColumn="0" w:noHBand="0" w:noVBand="1"/>
      </w:tblPr>
      <w:tblGrid>
        <w:gridCol w:w="2880"/>
        <w:gridCol w:w="1008"/>
        <w:gridCol w:w="1008"/>
        <w:gridCol w:w="1152"/>
        <w:gridCol w:w="3168"/>
      </w:tblGrid>
      <w:tr w:rsidR="00843C23" w:rsidRPr="00BA4F7F" w14:paraId="77FEF656" w14:textId="77777777">
        <w:trPr>
          <w:cantSplit/>
          <w:tblHeader/>
          <w:jc w:val="center"/>
        </w:trPr>
        <w:tc>
          <w:tcPr>
            <w:tcW w:w="2880" w:type="dxa"/>
            <w:shd w:val="clear" w:color="auto" w:fill="1F4E79"/>
            <w:tcMar>
              <w:top w:w="70" w:type="dxa"/>
              <w:left w:w="80" w:type="dxa"/>
              <w:bottom w:w="70" w:type="dxa"/>
              <w:right w:w="80" w:type="dxa"/>
            </w:tcMar>
            <w:vAlign w:val="center"/>
          </w:tcPr>
          <w:p w14:paraId="695D46B5" w14:textId="77777777" w:rsidR="00843C23" w:rsidRPr="00BA4F7F" w:rsidRDefault="00000000">
            <w:pPr>
              <w:jc w:val="center"/>
            </w:pPr>
            <w:proofErr w:type="spellStart"/>
            <w:r w:rsidRPr="00BA4F7F">
              <w:rPr>
                <w:b/>
                <w:color w:val="FFFFFF"/>
                <w:sz w:val="16"/>
              </w:rPr>
              <w:t>Subindeks</w:t>
            </w:r>
            <w:proofErr w:type="spellEnd"/>
          </w:p>
        </w:tc>
        <w:tc>
          <w:tcPr>
            <w:tcW w:w="1008" w:type="dxa"/>
            <w:shd w:val="clear" w:color="auto" w:fill="1F4E79"/>
            <w:tcMar>
              <w:top w:w="70" w:type="dxa"/>
              <w:left w:w="80" w:type="dxa"/>
              <w:bottom w:w="70" w:type="dxa"/>
              <w:right w:w="80" w:type="dxa"/>
            </w:tcMar>
            <w:vAlign w:val="center"/>
          </w:tcPr>
          <w:p w14:paraId="3A6E7827" w14:textId="77777777" w:rsidR="00843C23" w:rsidRPr="00BA4F7F" w:rsidRDefault="00000000">
            <w:pPr>
              <w:jc w:val="center"/>
            </w:pPr>
            <w:r w:rsidRPr="00BA4F7F">
              <w:rPr>
                <w:b/>
                <w:color w:val="FFFFFF"/>
                <w:sz w:val="16"/>
              </w:rPr>
              <w:t>2020</w:t>
            </w:r>
          </w:p>
        </w:tc>
        <w:tc>
          <w:tcPr>
            <w:tcW w:w="1008" w:type="dxa"/>
            <w:shd w:val="clear" w:color="auto" w:fill="1F4E79"/>
            <w:tcMar>
              <w:top w:w="70" w:type="dxa"/>
              <w:left w:w="80" w:type="dxa"/>
              <w:bottom w:w="70" w:type="dxa"/>
              <w:right w:w="80" w:type="dxa"/>
            </w:tcMar>
            <w:vAlign w:val="center"/>
          </w:tcPr>
          <w:p w14:paraId="3B04474F" w14:textId="77777777" w:rsidR="00843C23" w:rsidRPr="00BA4F7F" w:rsidRDefault="00000000">
            <w:pPr>
              <w:jc w:val="center"/>
            </w:pPr>
            <w:r w:rsidRPr="00BA4F7F">
              <w:rPr>
                <w:b/>
                <w:color w:val="FFFFFF"/>
                <w:sz w:val="16"/>
              </w:rPr>
              <w:t>2025</w:t>
            </w:r>
          </w:p>
        </w:tc>
        <w:tc>
          <w:tcPr>
            <w:tcW w:w="1152" w:type="dxa"/>
            <w:shd w:val="clear" w:color="auto" w:fill="1F4E79"/>
            <w:tcMar>
              <w:top w:w="70" w:type="dxa"/>
              <w:left w:w="80" w:type="dxa"/>
              <w:bottom w:w="70" w:type="dxa"/>
              <w:right w:w="80" w:type="dxa"/>
            </w:tcMar>
            <w:vAlign w:val="center"/>
          </w:tcPr>
          <w:p w14:paraId="2E30850E" w14:textId="77777777" w:rsidR="00843C23" w:rsidRPr="00BA4F7F" w:rsidRDefault="00000000">
            <w:pPr>
              <w:jc w:val="center"/>
            </w:pPr>
            <w:r w:rsidRPr="00BA4F7F">
              <w:rPr>
                <w:b/>
                <w:color w:val="FFFFFF"/>
                <w:sz w:val="16"/>
              </w:rPr>
              <w:t>Zmiana</w:t>
            </w:r>
          </w:p>
        </w:tc>
        <w:tc>
          <w:tcPr>
            <w:tcW w:w="3168" w:type="dxa"/>
            <w:shd w:val="clear" w:color="auto" w:fill="1F4E79"/>
            <w:tcMar>
              <w:top w:w="70" w:type="dxa"/>
              <w:left w:w="80" w:type="dxa"/>
              <w:bottom w:w="70" w:type="dxa"/>
              <w:right w:w="80" w:type="dxa"/>
            </w:tcMar>
            <w:vAlign w:val="center"/>
          </w:tcPr>
          <w:p w14:paraId="166D3E62" w14:textId="77777777" w:rsidR="00843C23" w:rsidRPr="00BA4F7F" w:rsidRDefault="00000000">
            <w:pPr>
              <w:jc w:val="center"/>
            </w:pPr>
            <w:r w:rsidRPr="00BA4F7F">
              <w:rPr>
                <w:b/>
                <w:color w:val="FFFFFF"/>
                <w:sz w:val="16"/>
              </w:rPr>
              <w:t>Ocena 2025</w:t>
            </w:r>
          </w:p>
        </w:tc>
      </w:tr>
      <w:tr w:rsidR="00843C23" w:rsidRPr="00BA4F7F" w14:paraId="2875BDE9" w14:textId="77777777">
        <w:trPr>
          <w:cantSplit/>
          <w:jc w:val="center"/>
        </w:trPr>
        <w:tc>
          <w:tcPr>
            <w:tcW w:w="2880" w:type="dxa"/>
            <w:tcMar>
              <w:top w:w="60" w:type="dxa"/>
              <w:left w:w="70" w:type="dxa"/>
              <w:bottom w:w="60" w:type="dxa"/>
              <w:right w:w="70" w:type="dxa"/>
            </w:tcMar>
            <w:vAlign w:val="center"/>
          </w:tcPr>
          <w:p w14:paraId="0B3D3F0D" w14:textId="77777777" w:rsidR="00843C23" w:rsidRPr="00BA4F7F" w:rsidRDefault="00000000">
            <w:pPr>
              <w:jc w:val="left"/>
            </w:pPr>
            <w:r w:rsidRPr="00BA4F7F">
              <w:rPr>
                <w:b/>
                <w:sz w:val="15"/>
              </w:rPr>
              <w:t>Gospodarka</w:t>
            </w:r>
          </w:p>
        </w:tc>
        <w:tc>
          <w:tcPr>
            <w:tcW w:w="1008" w:type="dxa"/>
            <w:tcMar>
              <w:top w:w="60" w:type="dxa"/>
              <w:left w:w="70" w:type="dxa"/>
              <w:bottom w:w="60" w:type="dxa"/>
              <w:right w:w="70" w:type="dxa"/>
            </w:tcMar>
            <w:vAlign w:val="center"/>
          </w:tcPr>
          <w:p w14:paraId="47A8884D" w14:textId="77777777" w:rsidR="00843C23" w:rsidRPr="00BA4F7F" w:rsidRDefault="00000000">
            <w:pPr>
              <w:jc w:val="center"/>
            </w:pPr>
            <w:r w:rsidRPr="00BA4F7F">
              <w:rPr>
                <w:sz w:val="15"/>
              </w:rPr>
              <w:t>56,4</w:t>
            </w:r>
          </w:p>
        </w:tc>
        <w:tc>
          <w:tcPr>
            <w:tcW w:w="1008" w:type="dxa"/>
            <w:tcMar>
              <w:top w:w="60" w:type="dxa"/>
              <w:left w:w="70" w:type="dxa"/>
              <w:bottom w:w="60" w:type="dxa"/>
              <w:right w:w="70" w:type="dxa"/>
            </w:tcMar>
            <w:vAlign w:val="center"/>
          </w:tcPr>
          <w:p w14:paraId="2781BCC1" w14:textId="77777777" w:rsidR="00843C23" w:rsidRPr="00BA4F7F" w:rsidRDefault="00000000">
            <w:pPr>
              <w:jc w:val="center"/>
            </w:pPr>
            <w:r w:rsidRPr="00BA4F7F">
              <w:rPr>
                <w:sz w:val="15"/>
              </w:rPr>
              <w:t>64,3</w:t>
            </w:r>
          </w:p>
        </w:tc>
        <w:tc>
          <w:tcPr>
            <w:tcW w:w="1152" w:type="dxa"/>
            <w:tcMar>
              <w:top w:w="60" w:type="dxa"/>
              <w:left w:w="70" w:type="dxa"/>
              <w:bottom w:w="60" w:type="dxa"/>
              <w:right w:w="70" w:type="dxa"/>
            </w:tcMar>
            <w:vAlign w:val="center"/>
          </w:tcPr>
          <w:p w14:paraId="3732F63B" w14:textId="77777777" w:rsidR="00843C23" w:rsidRPr="00BA4F7F" w:rsidRDefault="00000000">
            <w:pPr>
              <w:jc w:val="center"/>
            </w:pPr>
            <w:r w:rsidRPr="00BA4F7F">
              <w:rPr>
                <w:sz w:val="15"/>
              </w:rPr>
              <w:t>+7,9</w:t>
            </w:r>
          </w:p>
        </w:tc>
        <w:tc>
          <w:tcPr>
            <w:tcW w:w="3168" w:type="dxa"/>
            <w:tcMar>
              <w:top w:w="60" w:type="dxa"/>
              <w:left w:w="70" w:type="dxa"/>
              <w:bottom w:w="60" w:type="dxa"/>
              <w:right w:w="70" w:type="dxa"/>
            </w:tcMar>
            <w:vAlign w:val="center"/>
          </w:tcPr>
          <w:p w14:paraId="391CFF2A" w14:textId="77777777" w:rsidR="00843C23" w:rsidRPr="00BA4F7F" w:rsidRDefault="00000000">
            <w:pPr>
              <w:jc w:val="center"/>
            </w:pPr>
            <w:r w:rsidRPr="00BA4F7F">
              <w:rPr>
                <w:sz w:val="15"/>
              </w:rPr>
              <w:t>umiarkowanie dobra odporność</w:t>
            </w:r>
          </w:p>
        </w:tc>
      </w:tr>
      <w:tr w:rsidR="00843C23" w:rsidRPr="00BA4F7F" w14:paraId="4FE1ADA0" w14:textId="77777777">
        <w:trPr>
          <w:cantSplit/>
          <w:jc w:val="center"/>
        </w:trPr>
        <w:tc>
          <w:tcPr>
            <w:tcW w:w="2880" w:type="dxa"/>
            <w:shd w:val="clear" w:color="auto" w:fill="F7F7F7"/>
            <w:tcMar>
              <w:top w:w="60" w:type="dxa"/>
              <w:left w:w="70" w:type="dxa"/>
              <w:bottom w:w="60" w:type="dxa"/>
              <w:right w:w="70" w:type="dxa"/>
            </w:tcMar>
            <w:vAlign w:val="center"/>
          </w:tcPr>
          <w:p w14:paraId="48034A58" w14:textId="77777777" w:rsidR="00843C23" w:rsidRPr="00BA4F7F" w:rsidRDefault="00000000">
            <w:pPr>
              <w:jc w:val="left"/>
            </w:pPr>
            <w:r w:rsidRPr="00BA4F7F">
              <w:rPr>
                <w:b/>
                <w:sz w:val="15"/>
              </w:rPr>
              <w:t>Bezpieczeństwo</w:t>
            </w:r>
          </w:p>
        </w:tc>
        <w:tc>
          <w:tcPr>
            <w:tcW w:w="1008" w:type="dxa"/>
            <w:shd w:val="clear" w:color="auto" w:fill="F7F7F7"/>
            <w:tcMar>
              <w:top w:w="60" w:type="dxa"/>
              <w:left w:w="70" w:type="dxa"/>
              <w:bottom w:w="60" w:type="dxa"/>
              <w:right w:w="70" w:type="dxa"/>
            </w:tcMar>
            <w:vAlign w:val="center"/>
          </w:tcPr>
          <w:p w14:paraId="4147DC5F" w14:textId="77777777" w:rsidR="00843C23" w:rsidRPr="00BA4F7F" w:rsidRDefault="00000000">
            <w:pPr>
              <w:jc w:val="center"/>
            </w:pPr>
            <w:r w:rsidRPr="00BA4F7F">
              <w:rPr>
                <w:sz w:val="15"/>
              </w:rPr>
              <w:t>67,5</w:t>
            </w:r>
          </w:p>
        </w:tc>
        <w:tc>
          <w:tcPr>
            <w:tcW w:w="1008" w:type="dxa"/>
            <w:shd w:val="clear" w:color="auto" w:fill="F7F7F7"/>
            <w:tcMar>
              <w:top w:w="60" w:type="dxa"/>
              <w:left w:w="70" w:type="dxa"/>
              <w:bottom w:w="60" w:type="dxa"/>
              <w:right w:w="70" w:type="dxa"/>
            </w:tcMar>
            <w:vAlign w:val="center"/>
          </w:tcPr>
          <w:p w14:paraId="7CDE1082" w14:textId="77777777" w:rsidR="00843C23" w:rsidRPr="00BA4F7F" w:rsidRDefault="00000000">
            <w:pPr>
              <w:jc w:val="center"/>
            </w:pPr>
            <w:r w:rsidRPr="00BA4F7F">
              <w:rPr>
                <w:sz w:val="15"/>
              </w:rPr>
              <w:t>70,9</w:t>
            </w:r>
          </w:p>
        </w:tc>
        <w:tc>
          <w:tcPr>
            <w:tcW w:w="1152" w:type="dxa"/>
            <w:shd w:val="clear" w:color="auto" w:fill="F7F7F7"/>
            <w:tcMar>
              <w:top w:w="60" w:type="dxa"/>
              <w:left w:w="70" w:type="dxa"/>
              <w:bottom w:w="60" w:type="dxa"/>
              <w:right w:w="70" w:type="dxa"/>
            </w:tcMar>
            <w:vAlign w:val="center"/>
          </w:tcPr>
          <w:p w14:paraId="6E2C4FEC" w14:textId="77777777" w:rsidR="00843C23" w:rsidRPr="00BA4F7F" w:rsidRDefault="00000000">
            <w:pPr>
              <w:jc w:val="center"/>
            </w:pPr>
            <w:r w:rsidRPr="00BA4F7F">
              <w:rPr>
                <w:sz w:val="15"/>
              </w:rPr>
              <w:t>+3,4</w:t>
            </w:r>
          </w:p>
        </w:tc>
        <w:tc>
          <w:tcPr>
            <w:tcW w:w="3168" w:type="dxa"/>
            <w:shd w:val="clear" w:color="auto" w:fill="F7F7F7"/>
            <w:tcMar>
              <w:top w:w="60" w:type="dxa"/>
              <w:left w:w="70" w:type="dxa"/>
              <w:bottom w:w="60" w:type="dxa"/>
              <w:right w:w="70" w:type="dxa"/>
            </w:tcMar>
            <w:vAlign w:val="center"/>
          </w:tcPr>
          <w:p w14:paraId="350304F3" w14:textId="77777777" w:rsidR="00843C23" w:rsidRPr="00BA4F7F" w:rsidRDefault="00000000">
            <w:pPr>
              <w:jc w:val="center"/>
            </w:pPr>
            <w:r w:rsidRPr="00BA4F7F">
              <w:rPr>
                <w:sz w:val="15"/>
              </w:rPr>
              <w:t>umiarkowanie dobra odporność</w:t>
            </w:r>
          </w:p>
        </w:tc>
      </w:tr>
      <w:tr w:rsidR="00843C23" w:rsidRPr="00BA4F7F" w14:paraId="1EB34DB4" w14:textId="77777777">
        <w:trPr>
          <w:cantSplit/>
          <w:jc w:val="center"/>
        </w:trPr>
        <w:tc>
          <w:tcPr>
            <w:tcW w:w="2880" w:type="dxa"/>
            <w:tcMar>
              <w:top w:w="60" w:type="dxa"/>
              <w:left w:w="70" w:type="dxa"/>
              <w:bottom w:w="60" w:type="dxa"/>
              <w:right w:w="70" w:type="dxa"/>
            </w:tcMar>
            <w:vAlign w:val="center"/>
          </w:tcPr>
          <w:p w14:paraId="1FCEBAAE" w14:textId="77777777" w:rsidR="00843C23" w:rsidRPr="00BA4F7F" w:rsidRDefault="00000000">
            <w:pPr>
              <w:jc w:val="left"/>
            </w:pPr>
            <w:r w:rsidRPr="00BA4F7F">
              <w:rPr>
                <w:b/>
                <w:sz w:val="15"/>
              </w:rPr>
              <w:t>Demografia</w:t>
            </w:r>
          </w:p>
        </w:tc>
        <w:tc>
          <w:tcPr>
            <w:tcW w:w="1008" w:type="dxa"/>
            <w:tcMar>
              <w:top w:w="60" w:type="dxa"/>
              <w:left w:w="70" w:type="dxa"/>
              <w:bottom w:w="60" w:type="dxa"/>
              <w:right w:w="70" w:type="dxa"/>
            </w:tcMar>
            <w:vAlign w:val="center"/>
          </w:tcPr>
          <w:p w14:paraId="58DC59BC" w14:textId="77777777" w:rsidR="00843C23" w:rsidRPr="00BA4F7F" w:rsidRDefault="00000000">
            <w:pPr>
              <w:jc w:val="center"/>
            </w:pPr>
            <w:r w:rsidRPr="00BA4F7F">
              <w:rPr>
                <w:sz w:val="15"/>
              </w:rPr>
              <w:t>54,8</w:t>
            </w:r>
          </w:p>
        </w:tc>
        <w:tc>
          <w:tcPr>
            <w:tcW w:w="1008" w:type="dxa"/>
            <w:tcMar>
              <w:top w:w="60" w:type="dxa"/>
              <w:left w:w="70" w:type="dxa"/>
              <w:bottom w:w="60" w:type="dxa"/>
              <w:right w:w="70" w:type="dxa"/>
            </w:tcMar>
            <w:vAlign w:val="center"/>
          </w:tcPr>
          <w:p w14:paraId="186B67CD" w14:textId="77777777" w:rsidR="00843C23" w:rsidRPr="00BA4F7F" w:rsidRDefault="00000000">
            <w:pPr>
              <w:jc w:val="center"/>
            </w:pPr>
            <w:r w:rsidRPr="00BA4F7F">
              <w:rPr>
                <w:sz w:val="15"/>
              </w:rPr>
              <w:t>29,4</w:t>
            </w:r>
          </w:p>
        </w:tc>
        <w:tc>
          <w:tcPr>
            <w:tcW w:w="1152" w:type="dxa"/>
            <w:tcMar>
              <w:top w:w="60" w:type="dxa"/>
              <w:left w:w="70" w:type="dxa"/>
              <w:bottom w:w="60" w:type="dxa"/>
              <w:right w:w="70" w:type="dxa"/>
            </w:tcMar>
            <w:vAlign w:val="center"/>
          </w:tcPr>
          <w:p w14:paraId="6B79E987" w14:textId="77777777" w:rsidR="00843C23" w:rsidRPr="00BA4F7F" w:rsidRDefault="00000000">
            <w:pPr>
              <w:jc w:val="center"/>
            </w:pPr>
            <w:r w:rsidRPr="00BA4F7F">
              <w:rPr>
                <w:sz w:val="15"/>
              </w:rPr>
              <w:t>−25,4</w:t>
            </w:r>
          </w:p>
        </w:tc>
        <w:tc>
          <w:tcPr>
            <w:tcW w:w="3168" w:type="dxa"/>
            <w:tcMar>
              <w:top w:w="60" w:type="dxa"/>
              <w:left w:w="70" w:type="dxa"/>
              <w:bottom w:w="60" w:type="dxa"/>
              <w:right w:w="70" w:type="dxa"/>
            </w:tcMar>
            <w:vAlign w:val="center"/>
          </w:tcPr>
          <w:p w14:paraId="3F00D9E0" w14:textId="77777777" w:rsidR="00843C23" w:rsidRPr="00BA4F7F" w:rsidRDefault="00000000">
            <w:pPr>
              <w:jc w:val="center"/>
            </w:pPr>
            <w:r w:rsidRPr="00BA4F7F">
              <w:rPr>
                <w:sz w:val="15"/>
              </w:rPr>
              <w:t>wysokie ryzyko strategiczne</w:t>
            </w:r>
          </w:p>
        </w:tc>
      </w:tr>
      <w:tr w:rsidR="00843C23" w:rsidRPr="00BA4F7F" w14:paraId="0AAB196C" w14:textId="77777777">
        <w:trPr>
          <w:cantSplit/>
          <w:jc w:val="center"/>
        </w:trPr>
        <w:tc>
          <w:tcPr>
            <w:tcW w:w="2880" w:type="dxa"/>
            <w:shd w:val="clear" w:color="auto" w:fill="F7F7F7"/>
            <w:tcMar>
              <w:top w:w="60" w:type="dxa"/>
              <w:left w:w="70" w:type="dxa"/>
              <w:bottom w:w="60" w:type="dxa"/>
              <w:right w:w="70" w:type="dxa"/>
            </w:tcMar>
            <w:vAlign w:val="center"/>
          </w:tcPr>
          <w:p w14:paraId="5FB8B85F" w14:textId="77777777" w:rsidR="00843C23" w:rsidRPr="00BA4F7F" w:rsidRDefault="00000000">
            <w:pPr>
              <w:jc w:val="left"/>
            </w:pPr>
            <w:r w:rsidRPr="00BA4F7F">
              <w:rPr>
                <w:b/>
                <w:sz w:val="15"/>
              </w:rPr>
              <w:t>Spójność społeczna</w:t>
            </w:r>
          </w:p>
        </w:tc>
        <w:tc>
          <w:tcPr>
            <w:tcW w:w="1008" w:type="dxa"/>
            <w:shd w:val="clear" w:color="auto" w:fill="F7F7F7"/>
            <w:tcMar>
              <w:top w:w="60" w:type="dxa"/>
              <w:left w:w="70" w:type="dxa"/>
              <w:bottom w:w="60" w:type="dxa"/>
              <w:right w:w="70" w:type="dxa"/>
            </w:tcMar>
            <w:vAlign w:val="center"/>
          </w:tcPr>
          <w:p w14:paraId="4C860760" w14:textId="77777777" w:rsidR="00843C23" w:rsidRPr="00BA4F7F" w:rsidRDefault="00000000">
            <w:pPr>
              <w:jc w:val="center"/>
            </w:pPr>
            <w:r w:rsidRPr="00BA4F7F">
              <w:rPr>
                <w:sz w:val="15"/>
              </w:rPr>
              <w:t>60,1</w:t>
            </w:r>
          </w:p>
        </w:tc>
        <w:tc>
          <w:tcPr>
            <w:tcW w:w="1008" w:type="dxa"/>
            <w:shd w:val="clear" w:color="auto" w:fill="F7F7F7"/>
            <w:tcMar>
              <w:top w:w="60" w:type="dxa"/>
              <w:left w:w="70" w:type="dxa"/>
              <w:bottom w:w="60" w:type="dxa"/>
              <w:right w:w="70" w:type="dxa"/>
            </w:tcMar>
            <w:vAlign w:val="center"/>
          </w:tcPr>
          <w:p w14:paraId="4CD5D92C" w14:textId="77777777" w:rsidR="00843C23" w:rsidRPr="00BA4F7F" w:rsidRDefault="00000000">
            <w:pPr>
              <w:jc w:val="center"/>
            </w:pPr>
            <w:r w:rsidRPr="00BA4F7F">
              <w:rPr>
                <w:sz w:val="15"/>
              </w:rPr>
              <w:t>57,2</w:t>
            </w:r>
          </w:p>
        </w:tc>
        <w:tc>
          <w:tcPr>
            <w:tcW w:w="1152" w:type="dxa"/>
            <w:shd w:val="clear" w:color="auto" w:fill="F7F7F7"/>
            <w:tcMar>
              <w:top w:w="60" w:type="dxa"/>
              <w:left w:w="70" w:type="dxa"/>
              <w:bottom w:w="60" w:type="dxa"/>
              <w:right w:w="70" w:type="dxa"/>
            </w:tcMar>
            <w:vAlign w:val="center"/>
          </w:tcPr>
          <w:p w14:paraId="42F94B05" w14:textId="77777777" w:rsidR="00843C23" w:rsidRPr="00BA4F7F" w:rsidRDefault="00000000">
            <w:pPr>
              <w:jc w:val="center"/>
            </w:pPr>
            <w:r w:rsidRPr="00BA4F7F">
              <w:rPr>
                <w:sz w:val="15"/>
              </w:rPr>
              <w:t>−2,9</w:t>
            </w:r>
          </w:p>
        </w:tc>
        <w:tc>
          <w:tcPr>
            <w:tcW w:w="3168" w:type="dxa"/>
            <w:shd w:val="clear" w:color="auto" w:fill="F7F7F7"/>
            <w:tcMar>
              <w:top w:w="60" w:type="dxa"/>
              <w:left w:w="70" w:type="dxa"/>
              <w:bottom w:w="60" w:type="dxa"/>
              <w:right w:w="70" w:type="dxa"/>
            </w:tcMar>
            <w:vAlign w:val="center"/>
          </w:tcPr>
          <w:p w14:paraId="70BFD714" w14:textId="77777777" w:rsidR="00843C23" w:rsidRPr="00BA4F7F" w:rsidRDefault="00000000">
            <w:pPr>
              <w:jc w:val="center"/>
            </w:pPr>
            <w:r w:rsidRPr="00BA4F7F">
              <w:rPr>
                <w:sz w:val="15"/>
              </w:rPr>
              <w:t>słaba lub niepełna odporność</w:t>
            </w:r>
          </w:p>
        </w:tc>
      </w:tr>
    </w:tbl>
    <w:p w14:paraId="60FB0126" w14:textId="77777777" w:rsidR="00843C23" w:rsidRPr="00BA4F7F" w:rsidRDefault="00843C23">
      <w:pPr>
        <w:spacing w:after="20" w:line="259" w:lineRule="auto"/>
      </w:pPr>
    </w:p>
    <w:p w14:paraId="1868027F" w14:textId="77777777" w:rsidR="00E2541F" w:rsidRPr="00BA4F7F" w:rsidRDefault="00E2541F" w:rsidP="00E2541F">
      <w:pPr>
        <w:spacing w:line="259" w:lineRule="auto"/>
      </w:pPr>
      <w:r w:rsidRPr="00BA4F7F">
        <w:t>Filar „Kondycja systemowa” mierzy podstawową nośność państwa – zdolność gospodarki, systemu bezpieczeństwa, potencjału ludnościowego i wspólnoty społecznej do podtrzymywania kluczowych funkcji w czasie pokoju, kryzysu oraz długotrwałej presji strategicznej. Wynik 55,5 pkt nie oznacza paraliżu ani utraty elementarnej sprawczości. Oznacza jednak, że po relatywnie dobrej odporności kryzysowej lat 2021–2023 Polska weszła w latach 2024–2025 na niższy poziom równowagi. Państwo nadal potrafi reagować, lecz coraz większa część tej zdolności jest utrzymywana przy narastającym koszcie finansowym, ludnościowym i społecznym.</w:t>
      </w:r>
    </w:p>
    <w:p w14:paraId="693486FE" w14:textId="77777777" w:rsidR="00E2541F" w:rsidRPr="00BA4F7F" w:rsidRDefault="00E2541F" w:rsidP="00E2541F">
      <w:pPr>
        <w:spacing w:line="259" w:lineRule="auto"/>
      </w:pPr>
      <w:r w:rsidRPr="00BA4F7F">
        <w:t xml:space="preserve">Struktura wyniku jest ważniejsza niż sama średnia. Każdy z czterech </w:t>
      </w:r>
      <w:proofErr w:type="spellStart"/>
      <w:r w:rsidRPr="00BA4F7F">
        <w:t>subindeksów</w:t>
      </w:r>
      <w:proofErr w:type="spellEnd"/>
      <w:r w:rsidRPr="00BA4F7F">
        <w:t xml:space="preserve"> ma w Filarze równą wagę 25%, ale opisuje inny rodzaj zasobu, którego nie można w pełni zastąpić pozostałymi. Bezpieczeństwo osiąga 70,9 pkt, a Gospodarka 64,3 pkt; oba obszary tworzą realną odporność bieżącą. Jednocześnie Demografia spada do 29,4 pkt, zaś Spójność społeczna pozostaje na poziomie 57,2 pkt. Powstaje w ten sposób asymetria odporności: Polska jest relatywnie silna tam, gdzie zdolność można zwiększać decyzją budżetową, organizacyjną lub inwestycyjną, a słabsza tam, gdzie odbudowa wymaga trwałych zmian </w:t>
      </w:r>
      <w:proofErr w:type="spellStart"/>
      <w:r w:rsidRPr="00BA4F7F">
        <w:t>zachowań</w:t>
      </w:r>
      <w:proofErr w:type="spellEnd"/>
      <w:r w:rsidRPr="00BA4F7F">
        <w:t>, instytucji i relacji społecznych.</w:t>
      </w:r>
    </w:p>
    <w:p w14:paraId="1F2BBBB5" w14:textId="77777777" w:rsidR="00843C23" w:rsidRPr="00BA4F7F" w:rsidRDefault="00000000">
      <w:pPr>
        <w:keepNext/>
        <w:keepLines/>
        <w:spacing w:before="80" w:after="60" w:line="259" w:lineRule="auto"/>
        <w:jc w:val="center"/>
      </w:pPr>
      <w:r w:rsidRPr="00BA4F7F">
        <w:rPr>
          <w:noProof/>
        </w:rPr>
        <w:lastRenderedPageBreak/>
        <w:drawing>
          <wp:inline distT="0" distB="0" distL="0" distR="0" wp14:anchorId="67A49970" wp14:editId="309F4829">
            <wp:extent cx="5897880" cy="4592411"/>
            <wp:effectExtent l="0" t="0" r="0" b="0"/>
            <wp:docPr id="11" name="Picture 11" descr="Wykres 8. Mapa ciepła dwudziestu subobszarów IRS – wyniki całego modelu." title="Wykre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_heatmap_subobszary.png"/>
                    <pic:cNvPicPr/>
                  </pic:nvPicPr>
                  <pic:blipFill>
                    <a:blip r:embed="rId14"/>
                    <a:stretch>
                      <a:fillRect/>
                    </a:stretch>
                  </pic:blipFill>
                  <pic:spPr>
                    <a:xfrm>
                      <a:off x="0" y="0"/>
                      <a:ext cx="5897880" cy="4592411"/>
                    </a:xfrm>
                    <a:prstGeom prst="rect">
                      <a:avLst/>
                    </a:prstGeom>
                  </pic:spPr>
                </pic:pic>
              </a:graphicData>
            </a:graphic>
          </wp:inline>
        </w:drawing>
      </w:r>
    </w:p>
    <w:p w14:paraId="6BCCC4C6" w14:textId="77777777" w:rsidR="00843C23" w:rsidRPr="00BA4F7F" w:rsidRDefault="00000000">
      <w:pPr>
        <w:pStyle w:val="Legenda"/>
        <w:keepNext/>
        <w:keepLines/>
        <w:jc w:val="center"/>
      </w:pPr>
      <w:r w:rsidRPr="00BA4F7F">
        <w:t xml:space="preserve">Wykres 6. Mapa ciepła dwudziestu </w:t>
      </w:r>
      <w:proofErr w:type="spellStart"/>
      <w:r w:rsidRPr="00BA4F7F">
        <w:t>subobszarów</w:t>
      </w:r>
      <w:proofErr w:type="spellEnd"/>
      <w:r w:rsidRPr="00BA4F7F">
        <w:t xml:space="preserve"> IRS – wyniki całego modelu.</w:t>
      </w:r>
    </w:p>
    <w:p w14:paraId="29A5DEB6" w14:textId="77777777" w:rsidR="00E05F69" w:rsidRPr="00BA4F7F" w:rsidRDefault="00E05F69">
      <w:pPr>
        <w:spacing w:line="259" w:lineRule="auto"/>
      </w:pPr>
    </w:p>
    <w:p w14:paraId="5B5DAC7B" w14:textId="77777777" w:rsidR="00E2541F" w:rsidRPr="00BA4F7F" w:rsidRDefault="00E2541F" w:rsidP="00E2541F">
      <w:pPr>
        <w:spacing w:line="259" w:lineRule="auto"/>
      </w:pPr>
      <w:r w:rsidRPr="00BA4F7F">
        <w:t xml:space="preserve">Mapa </w:t>
      </w:r>
      <w:proofErr w:type="spellStart"/>
      <w:r w:rsidRPr="00BA4F7F">
        <w:t>subobszarów</w:t>
      </w:r>
      <w:proofErr w:type="spellEnd"/>
      <w:r w:rsidRPr="00BA4F7F">
        <w:t xml:space="preserve"> ujawnia przede wszystkim różnicę horyzontów. Zatrudnienie, saldo zewnętrzne albo wydatki obronne mogą zmienić się w ciągu jednego lub dwóch lat. Dzietność, struktura wieku, poziom zaufania, zasób kapitału i gotowość ochrony ludności reagują znacznie wolniej. Z tego powodu państwo może przez pewien czas poprawiać wyniki operacyjne, równocześnie konsumując rezerwy potrzebne do ich powtórzenia w przyszłości. Jest to rodzaj ukrytego zobowiązania międzypokoleniowego: bieżąca sprawczość pozostaje widoczna, ale koszt jej utrzymania przesuwa się na kolejne budżety, mniejsze roczniki pracujących i słabsze zasoby wspólnotowe.</w:t>
      </w:r>
    </w:p>
    <w:p w14:paraId="33AEC5A6" w14:textId="77777777" w:rsidR="00843C23" w:rsidRPr="00BA4F7F" w:rsidRDefault="00E2541F" w:rsidP="00E2541F">
      <w:pPr>
        <w:spacing w:line="259" w:lineRule="auto"/>
      </w:pPr>
      <w:r w:rsidRPr="00BA4F7F">
        <w:t>Drugim przekrojowym ograniczeniem jest przestrzeń finansowania. Polska musi równocześnie wzmacniać obronność, wdrażać system ochrony ludności, modernizować energetykę i sieci, finansować zdrowie oraz odpowiadać na koszty starzenia się społeczeństwa. Przy deficycie sektora instytucji rządowych i samorządowych wynoszącym w modelu 7,3% PKB oraz długu na poziomie 59,7% PKB problemem nie jest bezpośrednia niewypłacalność, lecz malejąca wartość opcji strategicznej: zdolność do podjęcia kolejnych dużych zobowiązań bez wypierania inwestycji, wzrostu kosztów obsługi długu lub przenoszenia obciążeń na przyszłość. Najważniejszym zadaniem nie jest zatem mnożenie programów, lecz odbudowa zdolności regeneracyjnej państwa – demografii, inwestycji, rezerwy fiskalnej, odporności cywilnej i kapitału wspólnotowego.</w:t>
      </w:r>
      <w:r w:rsidRPr="00BA4F7F">
        <w:br w:type="page"/>
      </w:r>
    </w:p>
    <w:p w14:paraId="52E13869" w14:textId="77777777" w:rsidR="00843C23" w:rsidRPr="00BA4F7F" w:rsidRDefault="00000000">
      <w:pPr>
        <w:pStyle w:val="ChapterKicker"/>
        <w:keepNext/>
        <w:keepLines/>
        <w:rPr>
          <w:lang w:val="pl-PL"/>
        </w:rPr>
      </w:pPr>
      <w:r w:rsidRPr="00BA4F7F">
        <w:rPr>
          <w:lang w:val="pl-PL"/>
        </w:rPr>
        <w:lastRenderedPageBreak/>
        <w:t>SUBINDEKS 1</w:t>
      </w:r>
    </w:p>
    <w:p w14:paraId="253DFC72" w14:textId="77777777" w:rsidR="00843C23" w:rsidRPr="00BA4F7F" w:rsidRDefault="00000000">
      <w:pPr>
        <w:pStyle w:val="Nagwek1"/>
        <w:spacing w:before="0"/>
      </w:pPr>
      <w:bookmarkStart w:id="10" w:name="_Toc236400275"/>
      <w:bookmarkStart w:id="11" w:name="_Toc236400502"/>
      <w:r w:rsidRPr="00BA4F7F">
        <w:t>6. Gospodarka – stabilność bieżąca bez pełnej rezerwy rozwojowej</w:t>
      </w:r>
      <w:bookmarkEnd w:id="10"/>
      <w:bookmarkEnd w:id="11"/>
    </w:p>
    <w:tbl>
      <w:tblPr>
        <w:tblW w:w="0" w:type="auto"/>
        <w:tblLayout w:type="fixed"/>
        <w:tblLook w:val="04A0" w:firstRow="1" w:lastRow="0" w:firstColumn="1" w:lastColumn="0" w:noHBand="0" w:noVBand="1"/>
      </w:tblPr>
      <w:tblGrid>
        <w:gridCol w:w="1872"/>
        <w:gridCol w:w="7200"/>
      </w:tblGrid>
      <w:tr w:rsidR="00843C23" w:rsidRPr="00BA4F7F" w14:paraId="4F665BA6" w14:textId="77777777">
        <w:trPr>
          <w:cantSplit/>
        </w:trPr>
        <w:tc>
          <w:tcPr>
            <w:tcW w:w="1872" w:type="dxa"/>
            <w:shd w:val="clear" w:color="auto" w:fill="1F4E79"/>
            <w:vAlign w:val="center"/>
          </w:tcPr>
          <w:p w14:paraId="560A7542" w14:textId="77777777" w:rsidR="00843C23" w:rsidRPr="00BA4F7F" w:rsidRDefault="00000000">
            <w:pPr>
              <w:jc w:val="center"/>
            </w:pPr>
            <w:r w:rsidRPr="00BA4F7F">
              <w:rPr>
                <w:b/>
                <w:color w:val="FFFFFF"/>
                <w:sz w:val="48"/>
              </w:rPr>
              <w:t>64,3</w:t>
            </w:r>
          </w:p>
        </w:tc>
        <w:tc>
          <w:tcPr>
            <w:tcW w:w="7200" w:type="dxa"/>
            <w:shd w:val="clear" w:color="auto" w:fill="F3F6F9"/>
            <w:vAlign w:val="center"/>
          </w:tcPr>
          <w:p w14:paraId="6A4148A1" w14:textId="77777777" w:rsidR="00843C23" w:rsidRPr="00BA4F7F" w:rsidRDefault="00000000">
            <w:r w:rsidRPr="00BA4F7F">
              <w:rPr>
                <w:b/>
                <w:color w:val="17365D"/>
                <w:sz w:val="22"/>
              </w:rPr>
              <w:t>umiarkowanie dobra odporność</w:t>
            </w:r>
          </w:p>
          <w:p w14:paraId="658C38A7" w14:textId="77777777" w:rsidR="00843C23" w:rsidRPr="00BA4F7F" w:rsidRDefault="00000000">
            <w:r w:rsidRPr="00BA4F7F">
              <w:rPr>
                <w:color w:val="666666"/>
                <w:sz w:val="16"/>
              </w:rPr>
              <w:t xml:space="preserve">Ocena w skali 0–100 pkt. </w:t>
            </w:r>
          </w:p>
        </w:tc>
      </w:tr>
    </w:tbl>
    <w:p w14:paraId="24D6C83F" w14:textId="77777777" w:rsidR="00E2541F" w:rsidRPr="00BA4F7F" w:rsidRDefault="00E2541F" w:rsidP="00E2541F">
      <w:pPr>
        <w:pStyle w:val="Lead"/>
        <w:keepNext/>
        <w:rPr>
          <w:lang w:val="pl-PL"/>
        </w:rPr>
      </w:pPr>
      <w:r w:rsidRPr="00BA4F7F">
        <w:rPr>
          <w:lang w:val="pl-PL"/>
        </w:rPr>
        <w:t>Polska gospodarka pozostaje zdolna amortyzować szoki, lecz jej przewaga opiera się głównie na pełnym wykorzystaniu pracy i buforach zewnętrznych, a nie na wysokiej stopie inwestycji i trwałej nadwyżce fiskalnej.</w:t>
      </w:r>
    </w:p>
    <w:p w14:paraId="5ECCE3AA" w14:textId="77777777" w:rsidR="00843C23" w:rsidRPr="00BA4F7F" w:rsidRDefault="00000000">
      <w:pPr>
        <w:keepNext/>
        <w:keepLines/>
        <w:spacing w:before="80" w:after="60" w:line="259" w:lineRule="auto"/>
        <w:jc w:val="center"/>
      </w:pPr>
      <w:r w:rsidRPr="00BA4F7F">
        <w:rPr>
          <w:noProof/>
        </w:rPr>
        <w:drawing>
          <wp:inline distT="0" distB="0" distL="0" distR="0" wp14:anchorId="69A02B01" wp14:editId="409EA499">
            <wp:extent cx="5897880" cy="3804398"/>
            <wp:effectExtent l="0" t="0" r="0" b="0"/>
            <wp:docPr id="12" name="Picture 12" descr="Wykres 9. Wyniki czterech subobszarów Gospodarki." title="Wykre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_gospodarka.png"/>
                    <pic:cNvPicPr/>
                  </pic:nvPicPr>
                  <pic:blipFill>
                    <a:blip r:embed="rId15"/>
                    <a:stretch>
                      <a:fillRect/>
                    </a:stretch>
                  </pic:blipFill>
                  <pic:spPr>
                    <a:xfrm>
                      <a:off x="0" y="0"/>
                      <a:ext cx="5897880" cy="3804398"/>
                    </a:xfrm>
                    <a:prstGeom prst="rect">
                      <a:avLst/>
                    </a:prstGeom>
                  </pic:spPr>
                </pic:pic>
              </a:graphicData>
            </a:graphic>
          </wp:inline>
        </w:drawing>
      </w:r>
    </w:p>
    <w:p w14:paraId="7546D53C" w14:textId="77777777" w:rsidR="00843C23" w:rsidRPr="00BA4F7F" w:rsidRDefault="00000000">
      <w:pPr>
        <w:pStyle w:val="Legenda"/>
        <w:keepNext/>
        <w:keepLines/>
        <w:jc w:val="center"/>
      </w:pPr>
      <w:r w:rsidRPr="00BA4F7F">
        <w:t xml:space="preserve">Wykres 7. Wyniki czterech </w:t>
      </w:r>
      <w:proofErr w:type="spellStart"/>
      <w:r w:rsidRPr="00BA4F7F">
        <w:t>subobszarów</w:t>
      </w:r>
      <w:proofErr w:type="spellEnd"/>
      <w:r w:rsidRPr="00BA4F7F">
        <w:t xml:space="preserve"> Gospodarki.</w:t>
      </w:r>
    </w:p>
    <w:p w14:paraId="396F4EE4" w14:textId="77777777" w:rsidR="00E05F69" w:rsidRPr="00BA4F7F" w:rsidRDefault="00E05F69">
      <w:pPr>
        <w:spacing w:line="259" w:lineRule="auto"/>
      </w:pPr>
    </w:p>
    <w:p w14:paraId="7E325079" w14:textId="77777777" w:rsidR="00E2541F" w:rsidRPr="00BA4F7F" w:rsidRDefault="00E2541F" w:rsidP="00792352">
      <w:pPr>
        <w:spacing w:line="259" w:lineRule="auto"/>
      </w:pPr>
      <w:r w:rsidRPr="00BA4F7F">
        <w:t xml:space="preserve">Wynik Gospodarki rośnie z 56,4 pkt w pandemicznym 2020 r. do ponad 70 pkt w latach 2021–2023, następnie spada do 63,0 pkt w 2024 r. i odbudowuje się jedynie umiarkowanie do 64,3 pkt w 2025 r. Nie jest to prosty zapis cyklu PKB. Konstrukcja </w:t>
      </w:r>
      <w:proofErr w:type="spellStart"/>
      <w:r w:rsidRPr="00BA4F7F">
        <w:t>subindeksu</w:t>
      </w:r>
      <w:proofErr w:type="spellEnd"/>
      <w:r w:rsidRPr="00BA4F7F">
        <w:t xml:space="preserve"> nadaje po 30% wagi finansom publicznym i inwestycjom oraz po 20% równowadze zewnętrznej i rynkowi pracy. Wynik pokazuje więc różnicę między gospodarką zdolną podtrzymywać bieżącą aktywność a gospodarką tworzącą wystarczającą rezerwę do finansowania modernizacji, bezpieczeństwa i usług publicznych w kolejnej dekadzie.</w:t>
      </w:r>
    </w:p>
    <w:p w14:paraId="6B463561" w14:textId="77777777" w:rsidR="00E2541F" w:rsidRPr="00BA4F7F" w:rsidRDefault="00E2541F" w:rsidP="00792352">
      <w:pPr>
        <w:spacing w:line="259" w:lineRule="auto"/>
      </w:pPr>
      <w:r w:rsidRPr="00BA4F7F">
        <w:t>Rynek pracy pozostaje najmocniejszym komponentem – 88,0 pkt. Zatrudnienie osób w wieku 15–64 lata wynosi 72,8%, a bezrobocie BAEL 3,2%. Wzmacnia to dochody gospodarstw domowych, bazę podatkową i stabilność popytu. Ten sam wynik ma jednak drugą interpretację: gospodarka posiada niewielką rezerwę niewykorzystanej pracy. Napływ pracowników z zagranicy, w tym uchodźców z Ukrainy, łagodził część niedoborów po 2022 r., lecz nie usuwa trendu kurczenia się krajowej podaży pracy. Bardzo dobry wynik zatrudnienia może zatem jednocześnie świadczyć o odporności i zapowiadać narastającą konkurencję o kadry między przedsiębiorstwami, wojskiem, ochroną zdrowia i administracją.</w:t>
      </w:r>
    </w:p>
    <w:p w14:paraId="7F7ABB27" w14:textId="77777777" w:rsidR="00E2541F" w:rsidRPr="00BA4F7F" w:rsidRDefault="00E2541F" w:rsidP="00792352">
      <w:pPr>
        <w:spacing w:line="259" w:lineRule="auto"/>
      </w:pPr>
      <w:r w:rsidRPr="00BA4F7F">
        <w:t>Równowaga zewnętrzna osiąga 80,9 pkt. Niewielki deficyt rachunku bieżącego, mniej ujemna niż w 2020 r. międzynarodowa pozycja inwestycyjna netto, umiarkowane zadłużenie zagraniczne oraz rezerwy odpowiadające około jednej czwartej PKB tworzą znaczący bufor wobec presji kursowej i nagłego odpływu finansowania. Jest to ważny element suwerenności gospodarczej. Nie należy go jednak utożsamiać z wysoką zdolnością rozwojową: państwo może być odporne na szok zewnętrzny, a równocześnie inwestować zbyt mało we własny kapitał, technologie i produktywność.</w:t>
      </w:r>
    </w:p>
    <w:p w14:paraId="226ABD2F" w14:textId="77777777" w:rsidR="00E2541F" w:rsidRPr="00BA4F7F" w:rsidRDefault="00E2541F" w:rsidP="00792352">
      <w:pPr>
        <w:spacing w:line="259" w:lineRule="auto"/>
      </w:pPr>
      <w:r w:rsidRPr="00BA4F7F">
        <w:lastRenderedPageBreak/>
        <w:t xml:space="preserve">Finanse publiczne spadają do 51,7 pkt. W modelu deficyt sektora instytucji rządowych i samorządowych wynosi 7,3% PKB, dług 59,7% PKB, a koszty obsługi długu Skarbu Państwa około 1,87% PKB. Ocena nie sygnalizuje utraty dostępu do finansowania. Pokazuje natomiast, że po kosztach pandemii, osłon energetycznych, wzroście wynagrodzeń publicznych i skokowym zwiększeniu wysiłku obronnego maleje rezerwa na kolejny nieprzewidziany kryzys. Kluczowym ryzykiem jest nie sam poziom długu, lecz </w:t>
      </w:r>
      <w:r w:rsidR="00AE009E">
        <w:t>struktura</w:t>
      </w:r>
      <w:r w:rsidRPr="00BA4F7F">
        <w:t xml:space="preserve"> wysokiego deficytu w okresie, w którym państwo podejmuje wieloletnie zobowiązania inwestycyjne i społeczne.</w:t>
      </w:r>
    </w:p>
    <w:p w14:paraId="73E86AD8" w14:textId="77777777" w:rsidR="00E2541F" w:rsidRPr="00BA4F7F" w:rsidRDefault="00E2541F" w:rsidP="00792352">
      <w:pPr>
        <w:spacing w:line="259" w:lineRule="auto"/>
      </w:pPr>
      <w:r w:rsidRPr="00BA4F7F">
        <w:t>Inwestycje osiągają 50,0 pkt. Poprawa względem 2024 r. wynika z odbicia dynamiki nakładów przedsiębiorstw i produkcji przemysłowej, ale stopa inwestycji nadal wynosi tylko 17,0% PKB, a nakłady na B+R 1,40% PKB. Środki europejskie i duże inwestycje publiczne mogą czasowo podnieść nakłady, nie zastąpią jednak prywatnej skłonności do inwestowania, jakości selekcji projektów, stabilnego otoczenia regulacyjnego ani zdolności do utrzymania powstałych aktywów. W logice IRS liczy się nie tylko wolumen CAPEX, lecz jego przełożenie na produktywność, technologię, bezpieczeństwo dostaw i krajowe kompetencje.</w:t>
      </w:r>
    </w:p>
    <w:p w14:paraId="3657D835" w14:textId="77777777" w:rsidR="00E2541F" w:rsidRPr="00BA4F7F" w:rsidRDefault="00E2541F" w:rsidP="00E2541F">
      <w:pPr>
        <w:spacing w:line="259" w:lineRule="auto"/>
      </w:pPr>
      <w:r w:rsidRPr="00BA4F7F">
        <w:t>Międzynarodowe przeglądy gospodarcze Polski z 2025 r. są zbieżne z tym obrazem: podkreślają odporność wzrostu i rynku pracy, a zarazem wskazują na potrzebę wyższej jakości inwestycji, wzrostu produktywności i uporządkowania ścieżki fiskalnej. Ryzyko polega na tym, że silna konsumpcja, niski poziom bezrobocia i napływ funduszy mogą przez kilka lat tworzyć obraz trwałego sukcesu, mimo że zdolność do jego podtrzymania zależy od coraz mniejszej liczby pracujących, rosnących kosztów finansowania i niedostatecznego tempa akumulacji kapitału.</w:t>
      </w:r>
    </w:p>
    <w:p w14:paraId="630E26EB" w14:textId="77777777" w:rsidR="00E2541F" w:rsidRPr="00BA4F7F" w:rsidRDefault="00E2541F" w:rsidP="00E2541F">
      <w:pPr>
        <w:spacing w:line="259" w:lineRule="auto"/>
      </w:pPr>
    </w:p>
    <w:tbl>
      <w:tblPr>
        <w:tblStyle w:val="Tabela-Siatka"/>
        <w:tblW w:w="0" w:type="auto"/>
        <w:jc w:val="center"/>
        <w:tblLayout w:type="fixed"/>
        <w:tblLook w:val="04A0" w:firstRow="1" w:lastRow="0" w:firstColumn="1" w:lastColumn="0" w:noHBand="0" w:noVBand="1"/>
      </w:tblPr>
      <w:tblGrid>
        <w:gridCol w:w="2880"/>
        <w:gridCol w:w="1872"/>
        <w:gridCol w:w="4608"/>
      </w:tblGrid>
      <w:tr w:rsidR="00843C23" w:rsidRPr="00BA4F7F" w14:paraId="2EBB6A8D" w14:textId="77777777">
        <w:trPr>
          <w:cantSplit/>
          <w:tblHeader/>
          <w:jc w:val="center"/>
        </w:trPr>
        <w:tc>
          <w:tcPr>
            <w:tcW w:w="2880" w:type="dxa"/>
            <w:shd w:val="clear" w:color="auto" w:fill="1F4E79"/>
            <w:tcMar>
              <w:top w:w="70" w:type="dxa"/>
              <w:left w:w="80" w:type="dxa"/>
              <w:bottom w:w="70" w:type="dxa"/>
              <w:right w:w="80" w:type="dxa"/>
            </w:tcMar>
            <w:vAlign w:val="center"/>
          </w:tcPr>
          <w:p w14:paraId="30F7F205" w14:textId="77777777" w:rsidR="00843C23" w:rsidRPr="00BA4F7F" w:rsidRDefault="00000000">
            <w:pPr>
              <w:jc w:val="center"/>
            </w:pPr>
            <w:r w:rsidRPr="00BA4F7F">
              <w:rPr>
                <w:b/>
                <w:color w:val="FFFFFF"/>
                <w:sz w:val="16"/>
              </w:rPr>
              <w:t>Wskaźnik 2025</w:t>
            </w:r>
          </w:p>
        </w:tc>
        <w:tc>
          <w:tcPr>
            <w:tcW w:w="1872" w:type="dxa"/>
            <w:shd w:val="clear" w:color="auto" w:fill="1F4E79"/>
            <w:tcMar>
              <w:top w:w="70" w:type="dxa"/>
              <w:left w:w="80" w:type="dxa"/>
              <w:bottom w:w="70" w:type="dxa"/>
              <w:right w:w="80" w:type="dxa"/>
            </w:tcMar>
            <w:vAlign w:val="center"/>
          </w:tcPr>
          <w:p w14:paraId="330C6BD4" w14:textId="77777777" w:rsidR="00843C23" w:rsidRPr="00BA4F7F" w:rsidRDefault="00000000">
            <w:pPr>
              <w:jc w:val="center"/>
            </w:pPr>
            <w:r w:rsidRPr="00BA4F7F">
              <w:rPr>
                <w:b/>
                <w:color w:val="FFFFFF"/>
                <w:sz w:val="16"/>
              </w:rPr>
              <w:t>Wartość</w:t>
            </w:r>
          </w:p>
        </w:tc>
        <w:tc>
          <w:tcPr>
            <w:tcW w:w="4608" w:type="dxa"/>
            <w:shd w:val="clear" w:color="auto" w:fill="1F4E79"/>
            <w:tcMar>
              <w:top w:w="70" w:type="dxa"/>
              <w:left w:w="80" w:type="dxa"/>
              <w:bottom w:w="70" w:type="dxa"/>
              <w:right w:w="80" w:type="dxa"/>
            </w:tcMar>
            <w:vAlign w:val="center"/>
          </w:tcPr>
          <w:p w14:paraId="7E917ED3" w14:textId="77777777" w:rsidR="00843C23" w:rsidRPr="00BA4F7F" w:rsidRDefault="00000000">
            <w:pPr>
              <w:jc w:val="center"/>
            </w:pPr>
            <w:r w:rsidRPr="00BA4F7F">
              <w:rPr>
                <w:b/>
                <w:color w:val="FFFFFF"/>
                <w:sz w:val="16"/>
              </w:rPr>
              <w:t>Znaczenie strategiczne</w:t>
            </w:r>
          </w:p>
        </w:tc>
      </w:tr>
      <w:tr w:rsidR="00843C23" w:rsidRPr="00BA4F7F" w14:paraId="38D202BD" w14:textId="77777777">
        <w:trPr>
          <w:cantSplit/>
          <w:jc w:val="center"/>
        </w:trPr>
        <w:tc>
          <w:tcPr>
            <w:tcW w:w="2880" w:type="dxa"/>
            <w:tcMar>
              <w:top w:w="60" w:type="dxa"/>
              <w:left w:w="70" w:type="dxa"/>
              <w:bottom w:w="60" w:type="dxa"/>
              <w:right w:w="70" w:type="dxa"/>
            </w:tcMar>
            <w:vAlign w:val="center"/>
          </w:tcPr>
          <w:p w14:paraId="66F36D79" w14:textId="77777777" w:rsidR="00843C23" w:rsidRPr="00BA4F7F" w:rsidRDefault="00000000">
            <w:pPr>
              <w:jc w:val="left"/>
            </w:pPr>
            <w:r w:rsidRPr="00BA4F7F">
              <w:rPr>
                <w:b/>
                <w:sz w:val="15"/>
              </w:rPr>
              <w:t>Deficyt sektora GG</w:t>
            </w:r>
          </w:p>
        </w:tc>
        <w:tc>
          <w:tcPr>
            <w:tcW w:w="1872" w:type="dxa"/>
            <w:tcMar>
              <w:top w:w="60" w:type="dxa"/>
              <w:left w:w="70" w:type="dxa"/>
              <w:bottom w:w="60" w:type="dxa"/>
              <w:right w:w="70" w:type="dxa"/>
            </w:tcMar>
            <w:vAlign w:val="center"/>
          </w:tcPr>
          <w:p w14:paraId="23BBBB63" w14:textId="77777777" w:rsidR="00843C23" w:rsidRPr="00BA4F7F" w:rsidRDefault="00000000">
            <w:pPr>
              <w:jc w:val="center"/>
            </w:pPr>
            <w:r w:rsidRPr="00BA4F7F">
              <w:rPr>
                <w:sz w:val="15"/>
              </w:rPr>
              <w:t>−7,3% PKB</w:t>
            </w:r>
          </w:p>
        </w:tc>
        <w:tc>
          <w:tcPr>
            <w:tcW w:w="4608" w:type="dxa"/>
            <w:tcMar>
              <w:top w:w="60" w:type="dxa"/>
              <w:left w:w="70" w:type="dxa"/>
              <w:bottom w:w="60" w:type="dxa"/>
              <w:right w:w="70" w:type="dxa"/>
            </w:tcMar>
            <w:vAlign w:val="center"/>
          </w:tcPr>
          <w:p w14:paraId="7410852D" w14:textId="77777777" w:rsidR="00843C23" w:rsidRPr="00BA4F7F" w:rsidRDefault="00E2541F">
            <w:pPr>
              <w:jc w:val="center"/>
            </w:pPr>
            <w:r w:rsidRPr="00BA4F7F">
              <w:rPr>
                <w:sz w:val="15"/>
              </w:rPr>
              <w:t>Zmniejsza przestrzeń antykryzysową; kluczowe jest, czy wysoki deficyt ma charakter przejściowy, czy strukturalny.</w:t>
            </w:r>
          </w:p>
        </w:tc>
      </w:tr>
      <w:tr w:rsidR="00843C23" w:rsidRPr="00BA4F7F" w14:paraId="0ACA9F75" w14:textId="77777777">
        <w:trPr>
          <w:cantSplit/>
          <w:jc w:val="center"/>
        </w:trPr>
        <w:tc>
          <w:tcPr>
            <w:tcW w:w="2880" w:type="dxa"/>
            <w:shd w:val="clear" w:color="auto" w:fill="F7F7F7"/>
            <w:tcMar>
              <w:top w:w="60" w:type="dxa"/>
              <w:left w:w="70" w:type="dxa"/>
              <w:bottom w:w="60" w:type="dxa"/>
              <w:right w:w="70" w:type="dxa"/>
            </w:tcMar>
            <w:vAlign w:val="center"/>
          </w:tcPr>
          <w:p w14:paraId="6BBFDC02" w14:textId="77777777" w:rsidR="00843C23" w:rsidRPr="00BA4F7F" w:rsidRDefault="00000000">
            <w:pPr>
              <w:jc w:val="left"/>
            </w:pPr>
            <w:r w:rsidRPr="00BA4F7F">
              <w:rPr>
                <w:b/>
                <w:sz w:val="15"/>
              </w:rPr>
              <w:t>Dług sektora GG</w:t>
            </w:r>
          </w:p>
        </w:tc>
        <w:tc>
          <w:tcPr>
            <w:tcW w:w="1872" w:type="dxa"/>
            <w:shd w:val="clear" w:color="auto" w:fill="F7F7F7"/>
            <w:tcMar>
              <w:top w:w="60" w:type="dxa"/>
              <w:left w:w="70" w:type="dxa"/>
              <w:bottom w:w="60" w:type="dxa"/>
              <w:right w:w="70" w:type="dxa"/>
            </w:tcMar>
            <w:vAlign w:val="center"/>
          </w:tcPr>
          <w:p w14:paraId="3A682047" w14:textId="77777777" w:rsidR="00843C23" w:rsidRPr="00BA4F7F" w:rsidRDefault="00000000">
            <w:pPr>
              <w:jc w:val="center"/>
            </w:pPr>
            <w:r w:rsidRPr="00BA4F7F">
              <w:rPr>
                <w:sz w:val="15"/>
              </w:rPr>
              <w:t>59,7% PKB</w:t>
            </w:r>
          </w:p>
        </w:tc>
        <w:tc>
          <w:tcPr>
            <w:tcW w:w="4608" w:type="dxa"/>
            <w:shd w:val="clear" w:color="auto" w:fill="F7F7F7"/>
            <w:tcMar>
              <w:top w:w="60" w:type="dxa"/>
              <w:left w:w="70" w:type="dxa"/>
              <w:bottom w:w="60" w:type="dxa"/>
              <w:right w:w="70" w:type="dxa"/>
            </w:tcMar>
            <w:vAlign w:val="center"/>
          </w:tcPr>
          <w:p w14:paraId="47AB1ED5" w14:textId="77777777" w:rsidR="00843C23" w:rsidRPr="00BA4F7F" w:rsidRDefault="00E2541F">
            <w:pPr>
              <w:jc w:val="center"/>
            </w:pPr>
            <w:r w:rsidRPr="00BA4F7F">
              <w:rPr>
                <w:sz w:val="15"/>
              </w:rPr>
              <w:t xml:space="preserve">Sam poziom pozostaje </w:t>
            </w:r>
            <w:proofErr w:type="spellStart"/>
            <w:r w:rsidRPr="00BA4F7F">
              <w:rPr>
                <w:sz w:val="15"/>
              </w:rPr>
              <w:t>finansowalny</w:t>
            </w:r>
            <w:proofErr w:type="spellEnd"/>
            <w:r w:rsidRPr="00BA4F7F">
              <w:rPr>
                <w:sz w:val="15"/>
              </w:rPr>
              <w:t>, lecz szybko rośnie przy dużych potrzebach obronnych i inwestycyjnych.</w:t>
            </w:r>
          </w:p>
        </w:tc>
      </w:tr>
      <w:tr w:rsidR="00843C23" w:rsidRPr="00BA4F7F" w14:paraId="2D098A7C" w14:textId="77777777">
        <w:trPr>
          <w:cantSplit/>
          <w:jc w:val="center"/>
        </w:trPr>
        <w:tc>
          <w:tcPr>
            <w:tcW w:w="2880" w:type="dxa"/>
            <w:tcMar>
              <w:top w:w="60" w:type="dxa"/>
              <w:left w:w="70" w:type="dxa"/>
              <w:bottom w:w="60" w:type="dxa"/>
              <w:right w:w="70" w:type="dxa"/>
            </w:tcMar>
            <w:vAlign w:val="center"/>
          </w:tcPr>
          <w:p w14:paraId="1A540953" w14:textId="77777777" w:rsidR="00843C23" w:rsidRPr="00BA4F7F" w:rsidRDefault="00000000">
            <w:pPr>
              <w:jc w:val="left"/>
            </w:pPr>
            <w:r w:rsidRPr="00BA4F7F">
              <w:rPr>
                <w:b/>
                <w:sz w:val="15"/>
              </w:rPr>
              <w:t>Stopa inwestycji</w:t>
            </w:r>
          </w:p>
        </w:tc>
        <w:tc>
          <w:tcPr>
            <w:tcW w:w="1872" w:type="dxa"/>
            <w:tcMar>
              <w:top w:w="60" w:type="dxa"/>
              <w:left w:w="70" w:type="dxa"/>
              <w:bottom w:w="60" w:type="dxa"/>
              <w:right w:w="70" w:type="dxa"/>
            </w:tcMar>
            <w:vAlign w:val="center"/>
          </w:tcPr>
          <w:p w14:paraId="24F66303" w14:textId="77777777" w:rsidR="00843C23" w:rsidRPr="00BA4F7F" w:rsidRDefault="00000000">
            <w:pPr>
              <w:jc w:val="center"/>
            </w:pPr>
            <w:r w:rsidRPr="00BA4F7F">
              <w:rPr>
                <w:sz w:val="15"/>
              </w:rPr>
              <w:t>17,0% PKB</w:t>
            </w:r>
          </w:p>
        </w:tc>
        <w:tc>
          <w:tcPr>
            <w:tcW w:w="4608" w:type="dxa"/>
            <w:tcMar>
              <w:top w:w="60" w:type="dxa"/>
              <w:left w:w="70" w:type="dxa"/>
              <w:bottom w:w="60" w:type="dxa"/>
              <w:right w:w="70" w:type="dxa"/>
            </w:tcMar>
            <w:vAlign w:val="center"/>
          </w:tcPr>
          <w:p w14:paraId="1B4123DD" w14:textId="77777777" w:rsidR="00843C23" w:rsidRPr="00BA4F7F" w:rsidRDefault="00E2541F">
            <w:pPr>
              <w:jc w:val="center"/>
            </w:pPr>
            <w:r w:rsidRPr="00BA4F7F">
              <w:rPr>
                <w:sz w:val="15"/>
              </w:rPr>
              <w:t>Nie tworzy jeszcze kapitałowej podstawy szybkiej modernizacji i konwergencji produktywności.</w:t>
            </w:r>
          </w:p>
        </w:tc>
      </w:tr>
      <w:tr w:rsidR="00843C23" w:rsidRPr="00BA4F7F" w14:paraId="1576C476" w14:textId="77777777">
        <w:trPr>
          <w:cantSplit/>
          <w:jc w:val="center"/>
        </w:trPr>
        <w:tc>
          <w:tcPr>
            <w:tcW w:w="2880" w:type="dxa"/>
            <w:shd w:val="clear" w:color="auto" w:fill="F7F7F7"/>
            <w:tcMar>
              <w:top w:w="60" w:type="dxa"/>
              <w:left w:w="70" w:type="dxa"/>
              <w:bottom w:w="60" w:type="dxa"/>
              <w:right w:w="70" w:type="dxa"/>
            </w:tcMar>
            <w:vAlign w:val="center"/>
          </w:tcPr>
          <w:p w14:paraId="62128F89" w14:textId="77777777" w:rsidR="00843C23" w:rsidRPr="00BA4F7F" w:rsidRDefault="00000000">
            <w:pPr>
              <w:jc w:val="left"/>
            </w:pPr>
            <w:r w:rsidRPr="00BA4F7F">
              <w:rPr>
                <w:b/>
                <w:sz w:val="15"/>
              </w:rPr>
              <w:t>Nakłady B+R</w:t>
            </w:r>
          </w:p>
        </w:tc>
        <w:tc>
          <w:tcPr>
            <w:tcW w:w="1872" w:type="dxa"/>
            <w:shd w:val="clear" w:color="auto" w:fill="F7F7F7"/>
            <w:tcMar>
              <w:top w:w="60" w:type="dxa"/>
              <w:left w:w="70" w:type="dxa"/>
              <w:bottom w:w="60" w:type="dxa"/>
              <w:right w:w="70" w:type="dxa"/>
            </w:tcMar>
            <w:vAlign w:val="center"/>
          </w:tcPr>
          <w:p w14:paraId="7D196876" w14:textId="77777777" w:rsidR="00843C23" w:rsidRPr="00BA4F7F" w:rsidRDefault="00000000">
            <w:pPr>
              <w:jc w:val="center"/>
            </w:pPr>
            <w:r w:rsidRPr="00BA4F7F">
              <w:rPr>
                <w:sz w:val="15"/>
              </w:rPr>
              <w:t>1,40% PKB</w:t>
            </w:r>
          </w:p>
        </w:tc>
        <w:tc>
          <w:tcPr>
            <w:tcW w:w="4608" w:type="dxa"/>
            <w:shd w:val="clear" w:color="auto" w:fill="F7F7F7"/>
            <w:tcMar>
              <w:top w:w="60" w:type="dxa"/>
              <w:left w:w="70" w:type="dxa"/>
              <w:bottom w:w="60" w:type="dxa"/>
              <w:right w:w="70" w:type="dxa"/>
            </w:tcMar>
            <w:vAlign w:val="center"/>
          </w:tcPr>
          <w:p w14:paraId="52C97412" w14:textId="77777777" w:rsidR="00843C23" w:rsidRPr="00BA4F7F" w:rsidRDefault="00E2541F">
            <w:pPr>
              <w:jc w:val="center"/>
            </w:pPr>
            <w:r w:rsidRPr="00BA4F7F">
              <w:rPr>
                <w:sz w:val="15"/>
              </w:rPr>
              <w:t>Ograniczona skala własnych przewag technologicznych i zdolności absorpcji innowacji.</w:t>
            </w:r>
          </w:p>
        </w:tc>
      </w:tr>
      <w:tr w:rsidR="00843C23" w:rsidRPr="00BA4F7F" w14:paraId="2C32CBC8" w14:textId="77777777">
        <w:trPr>
          <w:cantSplit/>
          <w:jc w:val="center"/>
        </w:trPr>
        <w:tc>
          <w:tcPr>
            <w:tcW w:w="2880" w:type="dxa"/>
            <w:tcMar>
              <w:top w:w="60" w:type="dxa"/>
              <w:left w:w="70" w:type="dxa"/>
              <w:bottom w:w="60" w:type="dxa"/>
              <w:right w:w="70" w:type="dxa"/>
            </w:tcMar>
            <w:vAlign w:val="center"/>
          </w:tcPr>
          <w:p w14:paraId="085BA841" w14:textId="77777777" w:rsidR="00843C23" w:rsidRPr="00BA4F7F" w:rsidRDefault="00000000">
            <w:pPr>
              <w:jc w:val="left"/>
            </w:pPr>
            <w:r w:rsidRPr="00BA4F7F">
              <w:rPr>
                <w:b/>
                <w:sz w:val="15"/>
              </w:rPr>
              <w:t>Zatrudnienie 15–64</w:t>
            </w:r>
          </w:p>
        </w:tc>
        <w:tc>
          <w:tcPr>
            <w:tcW w:w="1872" w:type="dxa"/>
            <w:tcMar>
              <w:top w:w="60" w:type="dxa"/>
              <w:left w:w="70" w:type="dxa"/>
              <w:bottom w:w="60" w:type="dxa"/>
              <w:right w:w="70" w:type="dxa"/>
            </w:tcMar>
            <w:vAlign w:val="center"/>
          </w:tcPr>
          <w:p w14:paraId="3F5280BB" w14:textId="77777777" w:rsidR="00843C23" w:rsidRPr="00BA4F7F" w:rsidRDefault="00000000">
            <w:pPr>
              <w:jc w:val="center"/>
            </w:pPr>
            <w:r w:rsidRPr="00BA4F7F">
              <w:rPr>
                <w:sz w:val="15"/>
              </w:rPr>
              <w:t>72,8%</w:t>
            </w:r>
          </w:p>
        </w:tc>
        <w:tc>
          <w:tcPr>
            <w:tcW w:w="4608" w:type="dxa"/>
            <w:tcMar>
              <w:top w:w="60" w:type="dxa"/>
              <w:left w:w="70" w:type="dxa"/>
              <w:bottom w:w="60" w:type="dxa"/>
              <w:right w:w="70" w:type="dxa"/>
            </w:tcMar>
            <w:vAlign w:val="center"/>
          </w:tcPr>
          <w:p w14:paraId="5B216BD6" w14:textId="77777777" w:rsidR="00843C23" w:rsidRPr="00BA4F7F" w:rsidRDefault="00E2541F">
            <w:pPr>
              <w:jc w:val="center"/>
            </w:pPr>
            <w:r w:rsidRPr="00BA4F7F">
              <w:rPr>
                <w:sz w:val="15"/>
              </w:rPr>
              <w:t>Silny stabilizator dochodów i podatków, ale przy malejącej rezerwie podaży pracy.</w:t>
            </w:r>
          </w:p>
        </w:tc>
      </w:tr>
      <w:tr w:rsidR="00843C23" w:rsidRPr="00BA4F7F" w14:paraId="247B1B40" w14:textId="77777777">
        <w:trPr>
          <w:cantSplit/>
          <w:jc w:val="center"/>
        </w:trPr>
        <w:tc>
          <w:tcPr>
            <w:tcW w:w="2880" w:type="dxa"/>
            <w:shd w:val="clear" w:color="auto" w:fill="F7F7F7"/>
            <w:tcMar>
              <w:top w:w="60" w:type="dxa"/>
              <w:left w:w="70" w:type="dxa"/>
              <w:bottom w:w="60" w:type="dxa"/>
              <w:right w:w="70" w:type="dxa"/>
            </w:tcMar>
            <w:vAlign w:val="center"/>
          </w:tcPr>
          <w:p w14:paraId="33C085BC" w14:textId="77777777" w:rsidR="00843C23" w:rsidRPr="00BA4F7F" w:rsidRDefault="00000000">
            <w:pPr>
              <w:jc w:val="left"/>
            </w:pPr>
            <w:r w:rsidRPr="00BA4F7F">
              <w:rPr>
                <w:b/>
                <w:sz w:val="15"/>
              </w:rPr>
              <w:t>Bezrobocie BAEL</w:t>
            </w:r>
          </w:p>
        </w:tc>
        <w:tc>
          <w:tcPr>
            <w:tcW w:w="1872" w:type="dxa"/>
            <w:shd w:val="clear" w:color="auto" w:fill="F7F7F7"/>
            <w:tcMar>
              <w:top w:w="60" w:type="dxa"/>
              <w:left w:w="70" w:type="dxa"/>
              <w:bottom w:w="60" w:type="dxa"/>
              <w:right w:w="70" w:type="dxa"/>
            </w:tcMar>
            <w:vAlign w:val="center"/>
          </w:tcPr>
          <w:p w14:paraId="7BD73B1C" w14:textId="77777777" w:rsidR="00843C23" w:rsidRPr="00BA4F7F" w:rsidRDefault="00000000">
            <w:pPr>
              <w:jc w:val="center"/>
            </w:pPr>
            <w:r w:rsidRPr="00BA4F7F">
              <w:rPr>
                <w:sz w:val="15"/>
              </w:rPr>
              <w:t>3,2%</w:t>
            </w:r>
          </w:p>
        </w:tc>
        <w:tc>
          <w:tcPr>
            <w:tcW w:w="4608" w:type="dxa"/>
            <w:shd w:val="clear" w:color="auto" w:fill="F7F7F7"/>
            <w:tcMar>
              <w:top w:w="60" w:type="dxa"/>
              <w:left w:w="70" w:type="dxa"/>
              <w:bottom w:w="60" w:type="dxa"/>
              <w:right w:w="70" w:type="dxa"/>
            </w:tcMar>
            <w:vAlign w:val="center"/>
          </w:tcPr>
          <w:p w14:paraId="0B039BC2" w14:textId="77777777" w:rsidR="00843C23" w:rsidRPr="00BA4F7F" w:rsidRDefault="00E2541F">
            <w:pPr>
              <w:jc w:val="center"/>
            </w:pPr>
            <w:r w:rsidRPr="00BA4F7F">
              <w:rPr>
                <w:sz w:val="15"/>
              </w:rPr>
              <w:t>Bardzo wysoka absorpcja pracy; dalszy wzrost wymaga produktywności, aktywizacji i dobrze zarządzanej migracji.</w:t>
            </w:r>
          </w:p>
        </w:tc>
      </w:tr>
    </w:tbl>
    <w:p w14:paraId="21D11B74" w14:textId="77777777" w:rsidR="00843C23" w:rsidRPr="00BA4F7F" w:rsidRDefault="00843C23">
      <w:pPr>
        <w:spacing w:after="20" w:line="259" w:lineRule="auto"/>
      </w:pPr>
    </w:p>
    <w:tbl>
      <w:tblPr>
        <w:tblW w:w="0" w:type="auto"/>
        <w:jc w:val="center"/>
        <w:tblLayout w:type="fixed"/>
        <w:tblLook w:val="04A0" w:firstRow="1" w:lastRow="0" w:firstColumn="1" w:lastColumn="0" w:noHBand="0" w:noVBand="1"/>
      </w:tblPr>
      <w:tblGrid>
        <w:gridCol w:w="9432"/>
      </w:tblGrid>
      <w:tr w:rsidR="00843C23" w:rsidRPr="00BA4F7F" w14:paraId="138540E6" w14:textId="77777777">
        <w:trPr>
          <w:cantSplit/>
          <w:jc w:val="center"/>
        </w:trPr>
        <w:tc>
          <w:tcPr>
            <w:tcW w:w="9432" w:type="dxa"/>
            <w:tcBorders>
              <w:top w:val="single" w:sz="8" w:space="0" w:color="1F4E79"/>
              <w:left w:val="single" w:sz="8" w:space="0" w:color="1F4E79"/>
              <w:bottom w:val="single" w:sz="8" w:space="0" w:color="1F4E79"/>
              <w:right w:val="single" w:sz="8" w:space="0" w:color="1F4E79"/>
            </w:tcBorders>
            <w:shd w:val="clear" w:color="auto" w:fill="D9EAF7"/>
            <w:tcMar>
              <w:top w:w="130" w:type="dxa"/>
              <w:left w:w="160" w:type="dxa"/>
              <w:bottom w:w="130" w:type="dxa"/>
              <w:right w:w="160" w:type="dxa"/>
            </w:tcMar>
            <w:vAlign w:val="center"/>
          </w:tcPr>
          <w:p w14:paraId="6E16E344" w14:textId="77777777" w:rsidR="00843C23" w:rsidRPr="00BA4F7F" w:rsidRDefault="00000000">
            <w:pPr>
              <w:spacing w:after="60"/>
            </w:pPr>
            <w:r w:rsidRPr="00BA4F7F">
              <w:rPr>
                <w:b/>
                <w:color w:val="1F4E79"/>
                <w:sz w:val="21"/>
              </w:rPr>
              <w:t>Ryzyko pozornego sukcesu</w:t>
            </w:r>
          </w:p>
          <w:p w14:paraId="7F199565" w14:textId="77777777" w:rsidR="00843C23" w:rsidRPr="00BA4F7F" w:rsidRDefault="00E2541F">
            <w:pPr>
              <w:spacing w:after="0"/>
            </w:pPr>
            <w:r w:rsidRPr="00BA4F7F">
              <w:t>Pełne zatrudnienie i wysoka konsumpcja mogą maskować niski poziom inwestycji oraz kurczącą się bazę ludnościową. Gospodarka może pozostawać odporna bieżąco, a jednocześnie tracić zdolność do finansowania następnej generacji zadań państwa. Testem jakości nie jest więc wyłącznie tempo wzrostu, lecz to, czy wzrost zwiększa produktywność, kapitał i rezerwę fiskalną.</w:t>
            </w:r>
          </w:p>
        </w:tc>
      </w:tr>
    </w:tbl>
    <w:p w14:paraId="7A177F1C" w14:textId="77777777" w:rsidR="00843C23" w:rsidRPr="00BA4F7F" w:rsidRDefault="00843C23">
      <w:pPr>
        <w:spacing w:after="20" w:line="259" w:lineRule="auto"/>
      </w:pPr>
    </w:p>
    <w:p w14:paraId="727440EB" w14:textId="77777777" w:rsidR="00E2541F" w:rsidRPr="00BA4F7F" w:rsidRDefault="00E2541F" w:rsidP="00E2541F">
      <w:pPr>
        <w:spacing w:line="259" w:lineRule="auto"/>
      </w:pPr>
      <w:r w:rsidRPr="00BA4F7F">
        <w:t>Priorytetem powinno być przejście od gospodarki przede wszystkim amortyzującej szoki do gospodarki tworzącej rezerwę strategiczną. Wymaga to wiarygodnej średniookresowej ścieżki fiskalnej, przeglądów efektywności wydatków, ochrony inwestycji o najwyższej wartości państwowej, większej mobilizacji kapitału prywatnego i koncentracji polityki B+R na zdolnościach możliwych do wykorzystania w gospodarce. Dowodem poprawy nie będzie sam wzrost wydatków lub liczby projektów, lecz jednoczesny wzrost produktywności, inwestycji prywatnych, jakości aktywów publicznych i przestrzeni do reakcji na następny kryzys.</w:t>
      </w:r>
    </w:p>
    <w:p w14:paraId="70EB5900" w14:textId="77777777" w:rsidR="00843C23" w:rsidRPr="00BA4F7F" w:rsidRDefault="00000000">
      <w:pPr>
        <w:spacing w:line="259" w:lineRule="auto"/>
      </w:pPr>
      <w:r w:rsidRPr="00BA4F7F">
        <w:br w:type="page"/>
      </w:r>
    </w:p>
    <w:p w14:paraId="0FC248EB" w14:textId="77777777" w:rsidR="00843C23" w:rsidRPr="00BA4F7F" w:rsidRDefault="00000000">
      <w:pPr>
        <w:pStyle w:val="ChapterKicker"/>
        <w:keepNext/>
        <w:keepLines/>
        <w:rPr>
          <w:lang w:val="pl-PL"/>
        </w:rPr>
      </w:pPr>
      <w:r w:rsidRPr="00BA4F7F">
        <w:rPr>
          <w:lang w:val="pl-PL"/>
        </w:rPr>
        <w:lastRenderedPageBreak/>
        <w:t>SUBINDEKS 2</w:t>
      </w:r>
    </w:p>
    <w:p w14:paraId="2B7412D9" w14:textId="77777777" w:rsidR="00843C23" w:rsidRPr="00BA4F7F" w:rsidRDefault="00000000">
      <w:pPr>
        <w:pStyle w:val="Nagwek1"/>
        <w:spacing w:before="0"/>
      </w:pPr>
      <w:bookmarkStart w:id="12" w:name="_Toc236400276"/>
      <w:bookmarkStart w:id="13" w:name="_Toc236400503"/>
      <w:r w:rsidRPr="00BA4F7F">
        <w:t>7. Bezpieczeństwo – najsilniejsza funkcja państwa, ale odporność nadal niepełna</w:t>
      </w:r>
      <w:bookmarkEnd w:id="12"/>
      <w:bookmarkEnd w:id="13"/>
    </w:p>
    <w:tbl>
      <w:tblPr>
        <w:tblW w:w="0" w:type="auto"/>
        <w:tblLayout w:type="fixed"/>
        <w:tblLook w:val="04A0" w:firstRow="1" w:lastRow="0" w:firstColumn="1" w:lastColumn="0" w:noHBand="0" w:noVBand="1"/>
      </w:tblPr>
      <w:tblGrid>
        <w:gridCol w:w="1872"/>
        <w:gridCol w:w="7200"/>
      </w:tblGrid>
      <w:tr w:rsidR="00843C23" w:rsidRPr="00BA4F7F" w14:paraId="6D4D00DB" w14:textId="77777777">
        <w:trPr>
          <w:cantSplit/>
        </w:trPr>
        <w:tc>
          <w:tcPr>
            <w:tcW w:w="1872" w:type="dxa"/>
            <w:shd w:val="clear" w:color="auto" w:fill="1F4E79"/>
            <w:vAlign w:val="center"/>
          </w:tcPr>
          <w:p w14:paraId="1F03E082" w14:textId="77777777" w:rsidR="00843C23" w:rsidRPr="00BA4F7F" w:rsidRDefault="00000000">
            <w:pPr>
              <w:jc w:val="center"/>
            </w:pPr>
            <w:r w:rsidRPr="00BA4F7F">
              <w:rPr>
                <w:b/>
                <w:color w:val="FFFFFF"/>
                <w:sz w:val="48"/>
              </w:rPr>
              <w:t>70,9</w:t>
            </w:r>
          </w:p>
        </w:tc>
        <w:tc>
          <w:tcPr>
            <w:tcW w:w="7200" w:type="dxa"/>
            <w:shd w:val="clear" w:color="auto" w:fill="F3F6F9"/>
            <w:vAlign w:val="center"/>
          </w:tcPr>
          <w:p w14:paraId="72C88E40" w14:textId="77777777" w:rsidR="00843C23" w:rsidRPr="00BA4F7F" w:rsidRDefault="00000000">
            <w:r w:rsidRPr="00BA4F7F">
              <w:rPr>
                <w:b/>
                <w:color w:val="17365D"/>
                <w:sz w:val="22"/>
              </w:rPr>
              <w:t>umiarkowanie dobra odporność</w:t>
            </w:r>
          </w:p>
          <w:p w14:paraId="130621D7" w14:textId="77777777" w:rsidR="00843C23" w:rsidRPr="00BA4F7F" w:rsidRDefault="00000000">
            <w:r w:rsidRPr="00BA4F7F">
              <w:rPr>
                <w:color w:val="666666"/>
                <w:sz w:val="16"/>
              </w:rPr>
              <w:t xml:space="preserve">Ocena w skali 0–100 pkt. </w:t>
            </w:r>
          </w:p>
        </w:tc>
      </w:tr>
    </w:tbl>
    <w:p w14:paraId="3E26C3E6" w14:textId="77777777" w:rsidR="00843C23" w:rsidRPr="00BA4F7F" w:rsidRDefault="00000000">
      <w:pPr>
        <w:pStyle w:val="Lead"/>
        <w:keepNext/>
        <w:rPr>
          <w:lang w:val="pl-PL"/>
        </w:rPr>
      </w:pPr>
      <w:r w:rsidRPr="00BA4F7F">
        <w:rPr>
          <w:lang w:val="pl-PL"/>
        </w:rPr>
        <w:t>Polska wzmacnia twardy komponent wojskowy szybciej niż ochronę ludności i pełną gotowość społeczeństwa do długotrwałego kryzysu.</w:t>
      </w:r>
    </w:p>
    <w:p w14:paraId="70362F96" w14:textId="77777777" w:rsidR="00843C23" w:rsidRPr="00BA4F7F" w:rsidRDefault="00E2541F" w:rsidP="00E2541F">
      <w:pPr>
        <w:pStyle w:val="Lead"/>
        <w:keepNext/>
        <w:keepLines/>
        <w:rPr>
          <w:lang w:val="pl-PL"/>
        </w:rPr>
      </w:pPr>
      <w:r w:rsidRPr="00BA4F7F">
        <w:rPr>
          <w:noProof/>
          <w:lang w:val="pl-PL"/>
        </w:rPr>
        <w:drawing>
          <wp:inline distT="0" distB="0" distL="0" distR="0" wp14:anchorId="43BB1F62" wp14:editId="7CAFBC67">
            <wp:extent cx="5897880" cy="2966185"/>
            <wp:effectExtent l="0" t="0" r="0" b="0"/>
            <wp:docPr id="50163319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s_bezpieczenstwo_2020_2025.png"/>
                    <pic:cNvPicPr/>
                  </pic:nvPicPr>
                  <pic:blipFill>
                    <a:blip r:embed="rId16"/>
                    <a:stretch>
                      <a:fillRect/>
                    </a:stretch>
                  </pic:blipFill>
                  <pic:spPr>
                    <a:xfrm>
                      <a:off x="0" y="0"/>
                      <a:ext cx="5897880" cy="2966185"/>
                    </a:xfrm>
                    <a:prstGeom prst="rect">
                      <a:avLst/>
                    </a:prstGeom>
                  </pic:spPr>
                </pic:pic>
              </a:graphicData>
            </a:graphic>
          </wp:inline>
        </w:drawing>
      </w:r>
    </w:p>
    <w:p w14:paraId="69CC6FF2" w14:textId="77777777" w:rsidR="00843C23" w:rsidRPr="00BA4F7F" w:rsidRDefault="00000000">
      <w:pPr>
        <w:pStyle w:val="Legenda"/>
        <w:keepNext/>
        <w:keepLines/>
        <w:jc w:val="center"/>
      </w:pPr>
      <w:r w:rsidRPr="00BA4F7F">
        <w:t xml:space="preserve">Wykres 8. Trzy </w:t>
      </w:r>
      <w:proofErr w:type="spellStart"/>
      <w:r w:rsidRPr="00BA4F7F">
        <w:t>subobszary</w:t>
      </w:r>
      <w:proofErr w:type="spellEnd"/>
      <w:r w:rsidRPr="00BA4F7F">
        <w:t xml:space="preserve"> Bezpieczeństwa.</w:t>
      </w:r>
    </w:p>
    <w:p w14:paraId="62EF8AD4" w14:textId="77777777" w:rsidR="00E2541F" w:rsidRPr="00BA4F7F" w:rsidRDefault="00E2541F" w:rsidP="00E2541F"/>
    <w:p w14:paraId="1AADC0C8" w14:textId="77777777" w:rsidR="00E2541F" w:rsidRPr="00BA4F7F" w:rsidRDefault="00E2541F" w:rsidP="00792352">
      <w:pPr>
        <w:spacing w:line="259" w:lineRule="auto"/>
      </w:pPr>
      <w:r w:rsidRPr="00BA4F7F">
        <w:t xml:space="preserve">Bezpieczeństwo wzrasta z 67,5 pkt w 2020 r. do maksimum 77,2 pkt w 2023 r., po czym obniża się do 70,9 pkt w 2025 r. Spadek nie oznacza odwrotu od modernizacji wojskowej. Wynika z odmiennej dynamiki trzech komponentów: dalszego wzrostu zasobów obronnych, niepełnego wdrożenia ochrony ludności oraz niższej eksperckiej oceny bezpieczeństwa publicznego rozumianego w tym modelu jako kontrola granic, migracji i presji hybrydowej. </w:t>
      </w:r>
      <w:proofErr w:type="spellStart"/>
      <w:r w:rsidRPr="00BA4F7F">
        <w:t>Subindeks</w:t>
      </w:r>
      <w:proofErr w:type="spellEnd"/>
      <w:r w:rsidRPr="00BA4F7F">
        <w:t xml:space="preserve"> nie jest więc miarą ogólnej przestępczości ani prostym rankingiem wydatków wojskowych.</w:t>
      </w:r>
    </w:p>
    <w:p w14:paraId="16C9835D" w14:textId="77777777" w:rsidR="00E2541F" w:rsidRPr="00BA4F7F" w:rsidRDefault="00E2541F" w:rsidP="00792352">
      <w:pPr>
        <w:spacing w:line="259" w:lineRule="auto"/>
      </w:pPr>
      <w:r w:rsidRPr="00BA4F7F">
        <w:t xml:space="preserve">Zdolności obronne państwa osiągają 86,8 pkt. Szacunki NATO na 2025 r. – wydatki obronne na poziomie 4,48% PKB, udział nakładów sprzętowych wynoszący 54,44% oraz 233,8 tys. personelu potwierdzają zasadniczą zmianę priorytetów po </w:t>
      </w:r>
      <w:proofErr w:type="spellStart"/>
      <w:r w:rsidRPr="00BA4F7F">
        <w:t>pełnoskalowej</w:t>
      </w:r>
      <w:proofErr w:type="spellEnd"/>
      <w:r w:rsidRPr="00BA4F7F">
        <w:t xml:space="preserve"> agresji Rosji na Ukrainę. Model celowo stosuje nasycenie punktacji: pieniądze, liczebność i zakupy są warunkiem koniecznym, ale nie mierzą wyszkolenia, ukompletowania, zapasów amunicji, sprawności technicznej, interoperacyjności ani odporności logistyki. Deklaracja szczytu NATO w Hadze z 25 czerwca 2025 r. rozdzieliła docelowe 5% PKB na co najmniej 3,5% wydatków na podstawowe potrzeby obronne oraz do 1,5% na infrastrukturę, odporność, przemysł i bezpieczeństwo. Wzmacnia to logikę łącznego traktowania gotowości wojskowej i cywilnej.</w:t>
      </w:r>
    </w:p>
    <w:p w14:paraId="4BC13DEF" w14:textId="77777777" w:rsidR="00E2541F" w:rsidRPr="00BA4F7F" w:rsidRDefault="00E2541F" w:rsidP="00792352">
      <w:pPr>
        <w:spacing w:line="259" w:lineRule="auto"/>
      </w:pPr>
      <w:r w:rsidRPr="00BA4F7F">
        <w:t>Odporność cywilna i ochrona ludności uzyskują 63,4 pkt. Polska posiada gęstą sieć OSP w KSRG i zespołów ratownictwa medycznego, lecz gotowość systemu ochrony ludności i obrony cywilnej została w 2025 r. oceniona ekspercko na 39,5 pkt. Ustawa obowiązująca od 1 stycznia 2025 r. oraz Program Ochrony Ludności i Obrony Cywilnej na lata 2025–2026 tworzą podstawę prawną i finansową, ale nie są jeszcze dowodem powszechnej gotowości operacyjnej. Wymagają przełożenia na schronienie, zapasy, systemy ostrzegania, plany ewakuacji, ćwiczenia i zdolność samorządów do utrzymania usług. Przy interpretacji trendu trzeba uwzględnić, że w latach 2020–2024 komponent ekspercki miał neutralną wartość techniczną 50 pkt; wynik 2025 jest pierwszą pełną oceną według rubryki, a nie prostym pomiarem rocznego pogorszenia.</w:t>
      </w:r>
    </w:p>
    <w:p w14:paraId="4F71C7AD" w14:textId="77777777" w:rsidR="00E2541F" w:rsidRPr="00BA4F7F" w:rsidRDefault="00E2541F" w:rsidP="00792352">
      <w:pPr>
        <w:spacing w:line="259" w:lineRule="auto"/>
      </w:pPr>
      <w:r w:rsidRPr="00BA4F7F">
        <w:t>Bezpieczeństwo publiczne osiąga 64,6 pkt. W 2021 r. instrumentalizacja migracji przez Białoruś stała się testem kontroli granicy i koordynacji państwa; w 2022 r. Polska jednocześnie wzmacniała zabezpieczenie granicy zewnętrznej i przyjęła masowy napływ uchodźców wojennych z Ukrainy. Niższe oceny w latach 2024–2025 wynikają w modelu przede wszystkim z kryteriów suwerenności decyzyjnej i spójności polityki migracyjno-</w:t>
      </w:r>
      <w:r w:rsidRPr="00BA4F7F">
        <w:lastRenderedPageBreak/>
        <w:t>granicznej. Jest to komponent ekspercki i politycznie wrażliwy. Powinien być odczytywany jako ocena zdolności do utrzymania konsekwentnej kontroli, egzekucji i koordynacji, a nie jako twierdzenie o ogólnym spadku bezpieczeństwa obywateli.</w:t>
      </w:r>
    </w:p>
    <w:p w14:paraId="5B06071F" w14:textId="77777777" w:rsidR="00E2541F" w:rsidRPr="00BA4F7F" w:rsidRDefault="00E2541F" w:rsidP="00E2541F">
      <w:pPr>
        <w:spacing w:line="259" w:lineRule="auto"/>
      </w:pPr>
      <w:r w:rsidRPr="00BA4F7F">
        <w:t>Najważniejszy test kolejnego etapu będzie dotyczył konwersji nakładów w gotowość. Szybki zakup uzbrojenia zwiększa potencjał, ale równocześnie podnosi wymagania wobec szkolenia, serwisu, infrastruktury, amunicji, łączności i integracji wielu typów sprzętu. Bez odpowiednich zdolności przemysłowych i utrzymaniowych państwo może posiadać kosztowne aktywa, których dostępność operacyjna będzie niższa od nominalnej. W tym sensie największym ryzykiem nie jest niedostatek decyzji zakupowych, lecz luka między kontraktem, dostawą i pełną zdolnością jednostki.</w:t>
      </w:r>
    </w:p>
    <w:tbl>
      <w:tblPr>
        <w:tblStyle w:val="Tabela-Siatka"/>
        <w:tblW w:w="0" w:type="auto"/>
        <w:jc w:val="center"/>
        <w:tblLayout w:type="fixed"/>
        <w:tblLook w:val="04A0" w:firstRow="1" w:lastRow="0" w:firstColumn="1" w:lastColumn="0" w:noHBand="0" w:noVBand="1"/>
      </w:tblPr>
      <w:tblGrid>
        <w:gridCol w:w="2160"/>
        <w:gridCol w:w="1152"/>
        <w:gridCol w:w="3024"/>
        <w:gridCol w:w="3024"/>
      </w:tblGrid>
      <w:tr w:rsidR="00843C23" w:rsidRPr="00BA4F7F" w14:paraId="6C44BB22" w14:textId="77777777">
        <w:trPr>
          <w:cantSplit/>
          <w:tblHeader/>
          <w:jc w:val="center"/>
        </w:trPr>
        <w:tc>
          <w:tcPr>
            <w:tcW w:w="2160" w:type="dxa"/>
            <w:shd w:val="clear" w:color="auto" w:fill="1F4E79"/>
            <w:tcMar>
              <w:top w:w="70" w:type="dxa"/>
              <w:left w:w="80" w:type="dxa"/>
              <w:bottom w:w="70" w:type="dxa"/>
              <w:right w:w="80" w:type="dxa"/>
            </w:tcMar>
            <w:vAlign w:val="center"/>
          </w:tcPr>
          <w:p w14:paraId="114C10D9" w14:textId="77777777" w:rsidR="00843C23" w:rsidRPr="00BA4F7F" w:rsidRDefault="00000000">
            <w:pPr>
              <w:jc w:val="center"/>
            </w:pPr>
            <w:r w:rsidRPr="00BA4F7F">
              <w:rPr>
                <w:b/>
                <w:color w:val="FFFFFF"/>
                <w:sz w:val="16"/>
              </w:rPr>
              <w:t>Wymiar bezpieczeństwa</w:t>
            </w:r>
          </w:p>
        </w:tc>
        <w:tc>
          <w:tcPr>
            <w:tcW w:w="1152" w:type="dxa"/>
            <w:shd w:val="clear" w:color="auto" w:fill="1F4E79"/>
            <w:tcMar>
              <w:top w:w="70" w:type="dxa"/>
              <w:left w:w="80" w:type="dxa"/>
              <w:bottom w:w="70" w:type="dxa"/>
              <w:right w:w="80" w:type="dxa"/>
            </w:tcMar>
            <w:vAlign w:val="center"/>
          </w:tcPr>
          <w:p w14:paraId="2E2F0D7B" w14:textId="77777777" w:rsidR="00843C23" w:rsidRPr="00BA4F7F" w:rsidRDefault="00000000">
            <w:pPr>
              <w:jc w:val="center"/>
            </w:pPr>
            <w:r w:rsidRPr="00BA4F7F">
              <w:rPr>
                <w:b/>
                <w:color w:val="FFFFFF"/>
                <w:sz w:val="16"/>
              </w:rPr>
              <w:t>Wynik 2025</w:t>
            </w:r>
          </w:p>
        </w:tc>
        <w:tc>
          <w:tcPr>
            <w:tcW w:w="3024" w:type="dxa"/>
            <w:shd w:val="clear" w:color="auto" w:fill="1F4E79"/>
            <w:tcMar>
              <w:top w:w="70" w:type="dxa"/>
              <w:left w:w="80" w:type="dxa"/>
              <w:bottom w:w="70" w:type="dxa"/>
              <w:right w:w="80" w:type="dxa"/>
            </w:tcMar>
            <w:vAlign w:val="center"/>
          </w:tcPr>
          <w:p w14:paraId="5E24E772" w14:textId="77777777" w:rsidR="00843C23" w:rsidRPr="00BA4F7F" w:rsidRDefault="00000000">
            <w:pPr>
              <w:jc w:val="center"/>
            </w:pPr>
            <w:r w:rsidRPr="00BA4F7F">
              <w:rPr>
                <w:b/>
                <w:color w:val="FFFFFF"/>
                <w:sz w:val="16"/>
              </w:rPr>
              <w:t>Główna siła</w:t>
            </w:r>
          </w:p>
        </w:tc>
        <w:tc>
          <w:tcPr>
            <w:tcW w:w="3024" w:type="dxa"/>
            <w:shd w:val="clear" w:color="auto" w:fill="1F4E79"/>
            <w:tcMar>
              <w:top w:w="70" w:type="dxa"/>
              <w:left w:w="80" w:type="dxa"/>
              <w:bottom w:w="70" w:type="dxa"/>
              <w:right w:w="80" w:type="dxa"/>
            </w:tcMar>
            <w:vAlign w:val="center"/>
          </w:tcPr>
          <w:p w14:paraId="48CFF05B" w14:textId="77777777" w:rsidR="00843C23" w:rsidRPr="00BA4F7F" w:rsidRDefault="00000000">
            <w:pPr>
              <w:jc w:val="center"/>
            </w:pPr>
            <w:r w:rsidRPr="00BA4F7F">
              <w:rPr>
                <w:b/>
                <w:color w:val="FFFFFF"/>
                <w:sz w:val="16"/>
              </w:rPr>
              <w:t>Najważniejsza luka</w:t>
            </w:r>
          </w:p>
        </w:tc>
      </w:tr>
      <w:tr w:rsidR="00E2541F" w:rsidRPr="00BA4F7F" w14:paraId="2E229629" w14:textId="77777777">
        <w:trPr>
          <w:cantSplit/>
          <w:jc w:val="center"/>
        </w:trPr>
        <w:tc>
          <w:tcPr>
            <w:tcW w:w="2160" w:type="dxa"/>
            <w:tcMar>
              <w:top w:w="60" w:type="dxa"/>
              <w:left w:w="70" w:type="dxa"/>
              <w:bottom w:w="60" w:type="dxa"/>
              <w:right w:w="70" w:type="dxa"/>
            </w:tcMar>
            <w:vAlign w:val="center"/>
          </w:tcPr>
          <w:p w14:paraId="23CBECA8" w14:textId="77777777" w:rsidR="00E2541F" w:rsidRPr="00BA4F7F" w:rsidRDefault="00E2541F" w:rsidP="00E2541F">
            <w:pPr>
              <w:jc w:val="left"/>
            </w:pPr>
            <w:r w:rsidRPr="00BA4F7F">
              <w:rPr>
                <w:b/>
                <w:sz w:val="15"/>
              </w:rPr>
              <w:t>Zdolności obronne</w:t>
            </w:r>
          </w:p>
        </w:tc>
        <w:tc>
          <w:tcPr>
            <w:tcW w:w="1152" w:type="dxa"/>
            <w:tcMar>
              <w:top w:w="60" w:type="dxa"/>
              <w:left w:w="70" w:type="dxa"/>
              <w:bottom w:w="60" w:type="dxa"/>
              <w:right w:w="70" w:type="dxa"/>
            </w:tcMar>
            <w:vAlign w:val="center"/>
          </w:tcPr>
          <w:p w14:paraId="6142B2AF" w14:textId="77777777" w:rsidR="00E2541F" w:rsidRPr="00BA4F7F" w:rsidRDefault="00E2541F" w:rsidP="00E2541F">
            <w:pPr>
              <w:jc w:val="center"/>
            </w:pPr>
            <w:r w:rsidRPr="00BA4F7F">
              <w:rPr>
                <w:sz w:val="15"/>
              </w:rPr>
              <w:t>86,8</w:t>
            </w:r>
          </w:p>
        </w:tc>
        <w:tc>
          <w:tcPr>
            <w:tcW w:w="3024" w:type="dxa"/>
            <w:tcMar>
              <w:top w:w="60" w:type="dxa"/>
              <w:left w:w="70" w:type="dxa"/>
              <w:bottom w:w="60" w:type="dxa"/>
              <w:right w:w="70" w:type="dxa"/>
            </w:tcMar>
            <w:vAlign w:val="center"/>
          </w:tcPr>
          <w:p w14:paraId="56CDD29E" w14:textId="77777777" w:rsidR="00E2541F" w:rsidRPr="00BA4F7F" w:rsidRDefault="00E2541F" w:rsidP="00E2541F">
            <w:pPr>
              <w:jc w:val="center"/>
            </w:pPr>
            <w:r w:rsidRPr="00BA4F7F">
              <w:rPr>
                <w:sz w:val="15"/>
              </w:rPr>
              <w:t>Skala finansowania, intensywność modernizacyjna i wzrost personelu.</w:t>
            </w:r>
          </w:p>
        </w:tc>
        <w:tc>
          <w:tcPr>
            <w:tcW w:w="3024" w:type="dxa"/>
            <w:tcMar>
              <w:top w:w="60" w:type="dxa"/>
              <w:left w:w="70" w:type="dxa"/>
              <w:bottom w:w="60" w:type="dxa"/>
              <w:right w:w="70" w:type="dxa"/>
            </w:tcMar>
            <w:vAlign w:val="center"/>
          </w:tcPr>
          <w:p w14:paraId="3115D895" w14:textId="77777777" w:rsidR="00E2541F" w:rsidRPr="00BA4F7F" w:rsidRDefault="00E2541F" w:rsidP="00E2541F">
            <w:pPr>
              <w:jc w:val="center"/>
            </w:pPr>
            <w:r w:rsidRPr="00BA4F7F">
              <w:rPr>
                <w:sz w:val="15"/>
              </w:rPr>
              <w:t>Konwersja zakupów na gotowość, zapasy, logistykę, serwis i interoperacyjność.</w:t>
            </w:r>
          </w:p>
        </w:tc>
      </w:tr>
      <w:tr w:rsidR="00E2541F" w:rsidRPr="00BA4F7F" w14:paraId="7C2849FE" w14:textId="77777777">
        <w:trPr>
          <w:cantSplit/>
          <w:jc w:val="center"/>
        </w:trPr>
        <w:tc>
          <w:tcPr>
            <w:tcW w:w="2160" w:type="dxa"/>
            <w:shd w:val="clear" w:color="auto" w:fill="F7F7F7"/>
            <w:tcMar>
              <w:top w:w="60" w:type="dxa"/>
              <w:left w:w="70" w:type="dxa"/>
              <w:bottom w:w="60" w:type="dxa"/>
              <w:right w:w="70" w:type="dxa"/>
            </w:tcMar>
            <w:vAlign w:val="center"/>
          </w:tcPr>
          <w:p w14:paraId="7FE7680D" w14:textId="77777777" w:rsidR="00E2541F" w:rsidRPr="00BA4F7F" w:rsidRDefault="00E2541F" w:rsidP="00E2541F">
            <w:pPr>
              <w:jc w:val="left"/>
            </w:pPr>
            <w:r w:rsidRPr="00BA4F7F">
              <w:rPr>
                <w:b/>
                <w:sz w:val="15"/>
              </w:rPr>
              <w:t>Odporność cywilna</w:t>
            </w:r>
          </w:p>
        </w:tc>
        <w:tc>
          <w:tcPr>
            <w:tcW w:w="1152" w:type="dxa"/>
            <w:shd w:val="clear" w:color="auto" w:fill="F7F7F7"/>
            <w:tcMar>
              <w:top w:w="60" w:type="dxa"/>
              <w:left w:w="70" w:type="dxa"/>
              <w:bottom w:w="60" w:type="dxa"/>
              <w:right w:w="70" w:type="dxa"/>
            </w:tcMar>
            <w:vAlign w:val="center"/>
          </w:tcPr>
          <w:p w14:paraId="6B8FADA9" w14:textId="77777777" w:rsidR="00E2541F" w:rsidRPr="00BA4F7F" w:rsidRDefault="00E2541F" w:rsidP="00E2541F">
            <w:pPr>
              <w:jc w:val="center"/>
            </w:pPr>
            <w:r w:rsidRPr="00BA4F7F">
              <w:rPr>
                <w:sz w:val="15"/>
              </w:rPr>
              <w:t>63,4</w:t>
            </w:r>
          </w:p>
        </w:tc>
        <w:tc>
          <w:tcPr>
            <w:tcW w:w="3024" w:type="dxa"/>
            <w:shd w:val="clear" w:color="auto" w:fill="F7F7F7"/>
            <w:tcMar>
              <w:top w:w="60" w:type="dxa"/>
              <w:left w:w="70" w:type="dxa"/>
              <w:bottom w:w="60" w:type="dxa"/>
              <w:right w:w="70" w:type="dxa"/>
            </w:tcMar>
            <w:vAlign w:val="center"/>
          </w:tcPr>
          <w:p w14:paraId="02061ED0" w14:textId="77777777" w:rsidR="00E2541F" w:rsidRPr="00BA4F7F" w:rsidRDefault="00E2541F" w:rsidP="00E2541F">
            <w:pPr>
              <w:jc w:val="center"/>
            </w:pPr>
            <w:r w:rsidRPr="00BA4F7F">
              <w:rPr>
                <w:sz w:val="15"/>
              </w:rPr>
              <w:t>Rozbudowana sieć ratownicza i nowe ramy prawno-finansowe.</w:t>
            </w:r>
          </w:p>
        </w:tc>
        <w:tc>
          <w:tcPr>
            <w:tcW w:w="3024" w:type="dxa"/>
            <w:shd w:val="clear" w:color="auto" w:fill="F7F7F7"/>
            <w:tcMar>
              <w:top w:w="60" w:type="dxa"/>
              <w:left w:w="70" w:type="dxa"/>
              <w:bottom w:w="60" w:type="dxa"/>
              <w:right w:w="70" w:type="dxa"/>
            </w:tcMar>
            <w:vAlign w:val="center"/>
          </w:tcPr>
          <w:p w14:paraId="3FD8D320" w14:textId="77777777" w:rsidR="00E2541F" w:rsidRPr="00BA4F7F" w:rsidRDefault="00E2541F" w:rsidP="00E2541F">
            <w:pPr>
              <w:jc w:val="center"/>
            </w:pPr>
            <w:r w:rsidRPr="00BA4F7F">
              <w:rPr>
                <w:sz w:val="15"/>
              </w:rPr>
              <w:t>Schronienie, ćwiczenia, zasoby materialne, ciągłość usług i wdrożenie lokalne.</w:t>
            </w:r>
          </w:p>
        </w:tc>
      </w:tr>
      <w:tr w:rsidR="00E2541F" w:rsidRPr="00BA4F7F" w14:paraId="3467C98B" w14:textId="77777777">
        <w:trPr>
          <w:cantSplit/>
          <w:jc w:val="center"/>
        </w:trPr>
        <w:tc>
          <w:tcPr>
            <w:tcW w:w="2160" w:type="dxa"/>
            <w:tcMar>
              <w:top w:w="60" w:type="dxa"/>
              <w:left w:w="70" w:type="dxa"/>
              <w:bottom w:w="60" w:type="dxa"/>
              <w:right w:w="70" w:type="dxa"/>
            </w:tcMar>
            <w:vAlign w:val="center"/>
          </w:tcPr>
          <w:p w14:paraId="30AB7E2D" w14:textId="77777777" w:rsidR="00E2541F" w:rsidRPr="00BA4F7F" w:rsidRDefault="00E2541F" w:rsidP="00E2541F">
            <w:pPr>
              <w:jc w:val="left"/>
            </w:pPr>
            <w:r w:rsidRPr="00BA4F7F">
              <w:rPr>
                <w:b/>
                <w:sz w:val="15"/>
              </w:rPr>
              <w:t>Bezpieczeństwo publiczne</w:t>
            </w:r>
          </w:p>
        </w:tc>
        <w:tc>
          <w:tcPr>
            <w:tcW w:w="1152" w:type="dxa"/>
            <w:tcMar>
              <w:top w:w="60" w:type="dxa"/>
              <w:left w:w="70" w:type="dxa"/>
              <w:bottom w:w="60" w:type="dxa"/>
              <w:right w:w="70" w:type="dxa"/>
            </w:tcMar>
            <w:vAlign w:val="center"/>
          </w:tcPr>
          <w:p w14:paraId="3E144337" w14:textId="77777777" w:rsidR="00E2541F" w:rsidRPr="00BA4F7F" w:rsidRDefault="00E2541F" w:rsidP="00E2541F">
            <w:pPr>
              <w:jc w:val="center"/>
            </w:pPr>
            <w:r w:rsidRPr="00BA4F7F">
              <w:rPr>
                <w:sz w:val="15"/>
              </w:rPr>
              <w:t>64,6</w:t>
            </w:r>
          </w:p>
        </w:tc>
        <w:tc>
          <w:tcPr>
            <w:tcW w:w="3024" w:type="dxa"/>
            <w:tcMar>
              <w:top w:w="60" w:type="dxa"/>
              <w:left w:w="70" w:type="dxa"/>
              <w:bottom w:w="60" w:type="dxa"/>
              <w:right w:w="70" w:type="dxa"/>
            </w:tcMar>
            <w:vAlign w:val="center"/>
          </w:tcPr>
          <w:p w14:paraId="2A6357AB" w14:textId="77777777" w:rsidR="00E2541F" w:rsidRPr="00BA4F7F" w:rsidRDefault="00E2541F" w:rsidP="00E2541F">
            <w:pPr>
              <w:jc w:val="center"/>
            </w:pPr>
            <w:r w:rsidRPr="00BA4F7F">
              <w:rPr>
                <w:sz w:val="15"/>
              </w:rPr>
              <w:t>Doświadczenie ochrony granicy oraz reagowania na presję hybrydową.</w:t>
            </w:r>
          </w:p>
        </w:tc>
        <w:tc>
          <w:tcPr>
            <w:tcW w:w="3024" w:type="dxa"/>
            <w:tcMar>
              <w:top w:w="60" w:type="dxa"/>
              <w:left w:w="70" w:type="dxa"/>
              <w:bottom w:w="60" w:type="dxa"/>
              <w:right w:w="70" w:type="dxa"/>
            </w:tcMar>
            <w:vAlign w:val="center"/>
          </w:tcPr>
          <w:p w14:paraId="402707EC" w14:textId="77777777" w:rsidR="00E2541F" w:rsidRPr="00BA4F7F" w:rsidRDefault="00E2541F" w:rsidP="00E2541F">
            <w:pPr>
              <w:jc w:val="center"/>
            </w:pPr>
            <w:r w:rsidRPr="00BA4F7F">
              <w:rPr>
                <w:sz w:val="15"/>
              </w:rPr>
              <w:t>Spójna polityka migracyjna, egzekucja, koordynacja i trwała decyzyjność.</w:t>
            </w:r>
          </w:p>
        </w:tc>
      </w:tr>
    </w:tbl>
    <w:p w14:paraId="0CABA70D" w14:textId="77777777" w:rsidR="00843C23" w:rsidRPr="00BA4F7F" w:rsidRDefault="00843C23">
      <w:pPr>
        <w:spacing w:after="20" w:line="259" w:lineRule="auto"/>
      </w:pPr>
    </w:p>
    <w:tbl>
      <w:tblPr>
        <w:tblW w:w="0" w:type="auto"/>
        <w:jc w:val="center"/>
        <w:tblLayout w:type="fixed"/>
        <w:tblLook w:val="04A0" w:firstRow="1" w:lastRow="0" w:firstColumn="1" w:lastColumn="0" w:noHBand="0" w:noVBand="1"/>
      </w:tblPr>
      <w:tblGrid>
        <w:gridCol w:w="9432"/>
      </w:tblGrid>
      <w:tr w:rsidR="00843C23" w:rsidRPr="00BA4F7F" w14:paraId="74A18B06" w14:textId="77777777">
        <w:trPr>
          <w:cantSplit/>
          <w:jc w:val="center"/>
        </w:trPr>
        <w:tc>
          <w:tcPr>
            <w:tcW w:w="9432" w:type="dxa"/>
            <w:tcBorders>
              <w:top w:val="single" w:sz="8" w:space="0" w:color="1F4E79"/>
              <w:left w:val="single" w:sz="8" w:space="0" w:color="1F4E79"/>
              <w:bottom w:val="single" w:sz="8" w:space="0" w:color="1F4E79"/>
              <w:right w:val="single" w:sz="8" w:space="0" w:color="1F4E79"/>
            </w:tcBorders>
            <w:shd w:val="clear" w:color="auto" w:fill="D9EAF7"/>
            <w:tcMar>
              <w:top w:w="130" w:type="dxa"/>
              <w:left w:w="160" w:type="dxa"/>
              <w:bottom w:w="130" w:type="dxa"/>
              <w:right w:w="160" w:type="dxa"/>
            </w:tcMar>
            <w:vAlign w:val="center"/>
          </w:tcPr>
          <w:p w14:paraId="30345120" w14:textId="77777777" w:rsidR="00843C23" w:rsidRPr="00BA4F7F" w:rsidRDefault="00000000">
            <w:pPr>
              <w:spacing w:after="60"/>
            </w:pPr>
            <w:r w:rsidRPr="00BA4F7F">
              <w:rPr>
                <w:b/>
                <w:color w:val="1F4E79"/>
                <w:sz w:val="21"/>
              </w:rPr>
              <w:t>Od modernizacji do odporności</w:t>
            </w:r>
          </w:p>
          <w:p w14:paraId="62190354" w14:textId="77777777" w:rsidR="00843C23" w:rsidRPr="00BA4F7F" w:rsidRDefault="00E2541F">
            <w:pPr>
              <w:spacing w:after="0"/>
            </w:pPr>
            <w:r w:rsidRPr="00BA4F7F">
              <w:t>Państwo frontowe nie jest bezpieczne wyłącznie dlatego, że przeznacza wysokie środki na obronność. Jego odporność zależy od tego, czy wojsko, przemysł, logistyka, infrastruktura krytyczna, samorządy i ludność cywilna potrafią działać jako jeden system także podczas długotrwałego zakłócenia.</w:t>
            </w:r>
          </w:p>
        </w:tc>
      </w:tr>
    </w:tbl>
    <w:p w14:paraId="745F5964" w14:textId="77777777" w:rsidR="00843C23" w:rsidRPr="00BA4F7F" w:rsidRDefault="00843C23">
      <w:pPr>
        <w:spacing w:after="20" w:line="259" w:lineRule="auto"/>
      </w:pPr>
    </w:p>
    <w:p w14:paraId="08F5470B" w14:textId="77777777" w:rsidR="00E2541F" w:rsidRPr="00BA4F7F" w:rsidRDefault="00E2541F" w:rsidP="00E2541F">
      <w:pPr>
        <w:spacing w:line="259" w:lineRule="auto"/>
      </w:pPr>
      <w:r w:rsidRPr="00BA4F7F">
        <w:t>Strategicznym zadaniem jest przejście od modernizacji sektorowej do pełnej odporności państwa. Wymaga to wspólnych scenariuszy dla wojska, administracji, samorządów, operatorów infrastruktury i podmiotów prywatnych; cyklicznych ćwiczeń; audytu zapasów i ciągłości usług; oraz mierzenia czasu odtworzenia funkcji po zakłóceniu. Ochrona ludności nie jest dodatkiem do odstraszania. Zmniejsza oczekiwaną skuteczność presji militarnej, sabotażu i ataków na infrastrukturę, ponieważ ogranicza możliwość sparaliżowania państwa przez uderzenie w jego zaplecze cywilne.</w:t>
      </w:r>
    </w:p>
    <w:p w14:paraId="44B33242" w14:textId="77777777" w:rsidR="00843C23" w:rsidRPr="00BA4F7F" w:rsidRDefault="00000000">
      <w:pPr>
        <w:spacing w:line="259" w:lineRule="auto"/>
      </w:pPr>
      <w:r w:rsidRPr="00BA4F7F">
        <w:br w:type="page"/>
      </w:r>
    </w:p>
    <w:p w14:paraId="299BEFD6" w14:textId="77777777" w:rsidR="00843C23" w:rsidRPr="00BA4F7F" w:rsidRDefault="00000000">
      <w:pPr>
        <w:pStyle w:val="ChapterKicker"/>
        <w:keepNext/>
        <w:keepLines/>
        <w:rPr>
          <w:lang w:val="pl-PL"/>
        </w:rPr>
      </w:pPr>
      <w:r w:rsidRPr="00BA4F7F">
        <w:rPr>
          <w:lang w:val="pl-PL"/>
        </w:rPr>
        <w:lastRenderedPageBreak/>
        <w:t>SUBINDEKS 3</w:t>
      </w:r>
    </w:p>
    <w:p w14:paraId="5E4CA0C2" w14:textId="77777777" w:rsidR="00843C23" w:rsidRPr="00BA4F7F" w:rsidRDefault="00000000">
      <w:pPr>
        <w:pStyle w:val="Nagwek1"/>
        <w:spacing w:before="0"/>
      </w:pPr>
      <w:bookmarkStart w:id="14" w:name="_Toc236400277"/>
      <w:bookmarkStart w:id="15" w:name="_Toc236400504"/>
      <w:r w:rsidRPr="00BA4F7F">
        <w:t xml:space="preserve">8. Demografia – </w:t>
      </w:r>
      <w:r w:rsidR="00460512">
        <w:t xml:space="preserve">wysokie ryzyko o krytycznym </w:t>
      </w:r>
      <w:bookmarkEnd w:id="14"/>
      <w:r w:rsidR="00CC6018">
        <w:t>znaczeniu</w:t>
      </w:r>
      <w:bookmarkEnd w:id="15"/>
      <w:r w:rsidRPr="00BA4F7F">
        <w:t xml:space="preserve"> </w:t>
      </w:r>
    </w:p>
    <w:tbl>
      <w:tblPr>
        <w:tblW w:w="0" w:type="auto"/>
        <w:tblLayout w:type="fixed"/>
        <w:tblLook w:val="04A0" w:firstRow="1" w:lastRow="0" w:firstColumn="1" w:lastColumn="0" w:noHBand="0" w:noVBand="1"/>
      </w:tblPr>
      <w:tblGrid>
        <w:gridCol w:w="1872"/>
        <w:gridCol w:w="7200"/>
      </w:tblGrid>
      <w:tr w:rsidR="00843C23" w:rsidRPr="00BA4F7F" w14:paraId="44BB047B" w14:textId="77777777">
        <w:trPr>
          <w:cantSplit/>
        </w:trPr>
        <w:tc>
          <w:tcPr>
            <w:tcW w:w="1872" w:type="dxa"/>
            <w:shd w:val="clear" w:color="auto" w:fill="1F4E79"/>
            <w:vAlign w:val="center"/>
          </w:tcPr>
          <w:p w14:paraId="3CC01F46" w14:textId="77777777" w:rsidR="00843C23" w:rsidRPr="00BA4F7F" w:rsidRDefault="00000000">
            <w:pPr>
              <w:jc w:val="center"/>
            </w:pPr>
            <w:r w:rsidRPr="00BA4F7F">
              <w:rPr>
                <w:b/>
                <w:color w:val="FFFFFF"/>
                <w:sz w:val="48"/>
              </w:rPr>
              <w:t>29,4</w:t>
            </w:r>
          </w:p>
        </w:tc>
        <w:tc>
          <w:tcPr>
            <w:tcW w:w="7200" w:type="dxa"/>
            <w:shd w:val="clear" w:color="auto" w:fill="F3F6F9"/>
            <w:vAlign w:val="center"/>
          </w:tcPr>
          <w:p w14:paraId="317C9061" w14:textId="77777777" w:rsidR="00843C23" w:rsidRPr="00BA4F7F" w:rsidRDefault="00000000">
            <w:r w:rsidRPr="00BA4F7F">
              <w:rPr>
                <w:b/>
                <w:color w:val="17365D"/>
                <w:sz w:val="22"/>
              </w:rPr>
              <w:t>wysokie ryzyko strategiczne</w:t>
            </w:r>
          </w:p>
          <w:p w14:paraId="12BBABD0" w14:textId="77777777" w:rsidR="00843C23" w:rsidRPr="00BA4F7F" w:rsidRDefault="00000000">
            <w:r w:rsidRPr="00BA4F7F">
              <w:rPr>
                <w:color w:val="666666"/>
                <w:sz w:val="16"/>
              </w:rPr>
              <w:t xml:space="preserve">Ocena w skali 0–100 pkt. </w:t>
            </w:r>
          </w:p>
        </w:tc>
      </w:tr>
    </w:tbl>
    <w:p w14:paraId="55A7CC2E" w14:textId="77777777" w:rsidR="00E2541F" w:rsidRPr="00BA4F7F" w:rsidRDefault="00E2541F" w:rsidP="00E2541F">
      <w:pPr>
        <w:pStyle w:val="Lead"/>
        <w:keepNext/>
        <w:rPr>
          <w:lang w:val="pl-PL"/>
        </w:rPr>
      </w:pPr>
      <w:r w:rsidRPr="00BA4F7F">
        <w:rPr>
          <w:lang w:val="pl-PL"/>
        </w:rPr>
        <w:t xml:space="preserve">Demografia jest jedynym </w:t>
      </w:r>
      <w:proofErr w:type="spellStart"/>
      <w:r w:rsidRPr="00BA4F7F">
        <w:rPr>
          <w:lang w:val="pl-PL"/>
        </w:rPr>
        <w:t>subindeksem</w:t>
      </w:r>
      <w:proofErr w:type="spellEnd"/>
      <w:r w:rsidRPr="00BA4F7F">
        <w:rPr>
          <w:lang w:val="pl-PL"/>
        </w:rPr>
        <w:t>, w którym pogorszenie ma charakter jednocześnie głęboki, konsekwentny i samowzmacniający: obecny ubytek zmniejsza liczbę przyszłych rodziców, pracowników, podatników i osób dostępnych dla systemu bezpieczeństwa.</w:t>
      </w:r>
    </w:p>
    <w:p w14:paraId="2150F753" w14:textId="77777777" w:rsidR="00843C23" w:rsidRPr="00BA4F7F" w:rsidRDefault="00000000">
      <w:pPr>
        <w:keepNext/>
        <w:keepLines/>
        <w:spacing w:before="80" w:after="60" w:line="259" w:lineRule="auto"/>
        <w:jc w:val="center"/>
      </w:pPr>
      <w:r w:rsidRPr="00BA4F7F">
        <w:rPr>
          <w:noProof/>
        </w:rPr>
        <w:drawing>
          <wp:inline distT="0" distB="0" distL="0" distR="0" wp14:anchorId="1AF98638" wp14:editId="719EC6B7">
            <wp:extent cx="5897880" cy="3797313"/>
            <wp:effectExtent l="0" t="0" r="0" b="0"/>
            <wp:docPr id="14" name="Picture 14" descr="Wykres 11. Wyniki subobszarów Demografii." title="Wykre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_demografia.png"/>
                    <pic:cNvPicPr/>
                  </pic:nvPicPr>
                  <pic:blipFill>
                    <a:blip r:embed="rId17"/>
                    <a:stretch>
                      <a:fillRect/>
                    </a:stretch>
                  </pic:blipFill>
                  <pic:spPr>
                    <a:xfrm>
                      <a:off x="0" y="0"/>
                      <a:ext cx="5897880" cy="3797313"/>
                    </a:xfrm>
                    <a:prstGeom prst="rect">
                      <a:avLst/>
                    </a:prstGeom>
                  </pic:spPr>
                </pic:pic>
              </a:graphicData>
            </a:graphic>
          </wp:inline>
        </w:drawing>
      </w:r>
    </w:p>
    <w:p w14:paraId="3A2CF33C" w14:textId="77777777" w:rsidR="00843C23" w:rsidRPr="00BA4F7F" w:rsidRDefault="00000000">
      <w:pPr>
        <w:pStyle w:val="Legenda"/>
        <w:keepNext/>
        <w:keepLines/>
        <w:jc w:val="center"/>
      </w:pPr>
      <w:r w:rsidRPr="00BA4F7F">
        <w:t xml:space="preserve">Wykres 9. Wyniki </w:t>
      </w:r>
      <w:proofErr w:type="spellStart"/>
      <w:r w:rsidRPr="00BA4F7F">
        <w:t>subobszarów</w:t>
      </w:r>
      <w:proofErr w:type="spellEnd"/>
      <w:r w:rsidRPr="00BA4F7F">
        <w:t xml:space="preserve"> Demografii.</w:t>
      </w:r>
    </w:p>
    <w:p w14:paraId="697C1498" w14:textId="77777777" w:rsidR="00E2541F" w:rsidRPr="00BA4F7F" w:rsidRDefault="00E2541F">
      <w:pPr>
        <w:spacing w:line="259" w:lineRule="auto"/>
      </w:pPr>
    </w:p>
    <w:p w14:paraId="582EF637" w14:textId="77777777" w:rsidR="00E2541F" w:rsidRPr="00BA4F7F" w:rsidRDefault="00E2541F" w:rsidP="00792352">
      <w:pPr>
        <w:spacing w:line="259" w:lineRule="auto"/>
      </w:pPr>
      <w:r w:rsidRPr="00BA4F7F">
        <w:t xml:space="preserve">Demografia spada z 54,8 pkt w 2020 r. do 29,4 pkt w 2025 r. – najgłębiej spośród sześciu </w:t>
      </w:r>
      <w:proofErr w:type="spellStart"/>
      <w:r w:rsidRPr="00BA4F7F">
        <w:t>subindeksów</w:t>
      </w:r>
      <w:proofErr w:type="spellEnd"/>
      <w:r w:rsidRPr="00BA4F7F">
        <w:t xml:space="preserve"> IRS. W odróżnieniu od koniunktury gospodarczej czy harmonogramu inwestycji zmiana demograficzna ma dużą bezwładność. Mniejszy rocznik urodzeń pozostaje mniejszy przez cały cykl życia, wpływając kolejno na sieć szkół, zasób pracy, bazę podatkową, liczbę potencjalnych rodziców i relację między płatnikami a beneficjentami systemów publicznych. Konstrukcja modelu nadaje po 40% wagi stanowi i strukturze ludności oraz dzietności, a 20% aktywności państwa, dzięki czemu deklaracje i wydatki nie mogą skompensować pogorszenia twardych danych.</w:t>
      </w:r>
    </w:p>
    <w:p w14:paraId="1CA88482" w14:textId="77777777" w:rsidR="00E2541F" w:rsidRPr="00BA4F7F" w:rsidRDefault="00E2541F" w:rsidP="00792352">
      <w:pPr>
        <w:spacing w:line="259" w:lineRule="auto"/>
      </w:pPr>
      <w:r w:rsidRPr="00BA4F7F">
        <w:t>Najbardziej alarmujący jest wynik Dzietności – 6,0 pkt. Współczynnik dzietności przyjęty w modelu wynosi 1,06 i ma status roboczego szacunku IRS do czasu publikacji finalnej wartości GUS. Liczba około 238 tys. urodzeń żywych jest w modelu daną pomocniczą, a nie drugim punktowanym wskaźnikiem, co ogranicza ryzyko podwójnego liczenia tego samego zjawiska. Punktacja sygnalizuje nie chwilowe osłabienie, lecz wejście w obszar, w którym odtwarzanie pokoleń jest bardzo dalekie od poziomu zapewniającego stabilność struktury ludności. Nawet szybka poprawa warunków nie przełoży się natychmiast na odbudowę licznych roczników, ponieważ maleje również liczba kobiet w wieku rozrodczym.</w:t>
      </w:r>
    </w:p>
    <w:p w14:paraId="07F0319E" w14:textId="77777777" w:rsidR="00E2541F" w:rsidRPr="00BA4F7F" w:rsidRDefault="00E2541F" w:rsidP="00792352">
      <w:pPr>
        <w:spacing w:line="259" w:lineRule="auto"/>
      </w:pPr>
      <w:r w:rsidRPr="00BA4F7F">
        <w:t>Stan i struktura ludności osiągają 44,5 pkt. Ludność ogółem wynosi w modelu 37,333 mln, przyrost naturalny −4,5 na 1000 mieszkańców, udział osób w wieku produkcyjnym 58,1%, a obciążenie ludnością w wieku poprodukcyjnym 42 osoby na 100 osób w wieku produkcyjnym. Model odnosi liczbę ludności także do prognozy GUS. Zgodność ze scenariuszem bazowym daje 80, a nie 100 pkt, ponieważ sama prognoza zakłada depopulację; dla lat 2020–2022 zastosowano neutralną wartość techniczną z uwagi na rok bazowy prognozy. Takie rozwiązanie pozwala oceniać, czy rzeczywista ścieżka jest lepsza czy gorsza od oficjalnego scenariusza, bez przedstawiania zgodności z depopulacyjną prognozą jako pełnego sukcesu.</w:t>
      </w:r>
    </w:p>
    <w:p w14:paraId="24AC2B54" w14:textId="77777777" w:rsidR="00E2541F" w:rsidRPr="00BA4F7F" w:rsidRDefault="00E2541F" w:rsidP="00792352">
      <w:pPr>
        <w:spacing w:line="259" w:lineRule="auto"/>
      </w:pPr>
      <w:r w:rsidRPr="00BA4F7F">
        <w:lastRenderedPageBreak/>
        <w:t>Aktywność państwa wobec kryzysu demograficznego osiąga 46,0 pkt. Najwyżej oceniane pozostaje ekonomiczne wsparcie rodzin – 80 pkt – podczas gdy strategia i zarządzanie uzyskują 41 pkt, a ograniczanie barier 24,2 pkt. To jedna z najważniejszych informacji w całym modelu: państwo utrzymuje zdolność do transferowania dochodu, lecz znacznie słabiej wpływa na warunki, w których młodzi ludzie podejmują decyzje o małżeństwie, mieszkaniu i dzieciach. Luka między wsparciem finansowym a usuwaniem barier wyjaśnia, dlaczego wysoki koszt polityki rodzinnej może współistnieć z pogarszaniem się jej podstawowego rezultatu.</w:t>
      </w:r>
    </w:p>
    <w:p w14:paraId="7C070071" w14:textId="77777777" w:rsidR="00E2541F" w:rsidRPr="00BA4F7F" w:rsidRDefault="00E2541F" w:rsidP="00E2541F">
      <w:pPr>
        <w:spacing w:line="259" w:lineRule="auto"/>
      </w:pPr>
      <w:r w:rsidRPr="00BA4F7F">
        <w:t>Spadek dzietności nie jest wyłącznie polskim zjawiskiem; podobne procesy występują w wielu państwach europejskich i rozwiniętych. Nie uzasadnia to jednak uznania polskiej trajektorii za nieuchronną. Nakładają się na nią długookresowe zmiany wzorców tworzenia rodzin oraz kolejne wstrząsy: pandemia, wzrost kosztów mieszkań i energii, niepewność geopolityczna, pogorszenie dostępu do części świadczeń zdrowotnych i opóźnianie stabilizacji życiowej. IRS nie dowodzi, który czynnik ma znaczenie dominujące. Pokazuje natomiast, że odpowiedź skoncentrowana na pojedynczym instrumencie nie jest adekwatna do wieloprzyczynowego i kumulacyjnego charakteru problemu.</w:t>
      </w:r>
    </w:p>
    <w:tbl>
      <w:tblPr>
        <w:tblStyle w:val="Tabela-Siatka"/>
        <w:tblW w:w="0" w:type="auto"/>
        <w:jc w:val="center"/>
        <w:tblLayout w:type="fixed"/>
        <w:tblLook w:val="04A0" w:firstRow="1" w:lastRow="0" w:firstColumn="1" w:lastColumn="0" w:noHBand="0" w:noVBand="1"/>
      </w:tblPr>
      <w:tblGrid>
        <w:gridCol w:w="2880"/>
        <w:gridCol w:w="1872"/>
        <w:gridCol w:w="4464"/>
      </w:tblGrid>
      <w:tr w:rsidR="00843C23" w:rsidRPr="00BA4F7F" w14:paraId="2164749A" w14:textId="77777777">
        <w:trPr>
          <w:cantSplit/>
          <w:tblHeader/>
          <w:jc w:val="center"/>
        </w:trPr>
        <w:tc>
          <w:tcPr>
            <w:tcW w:w="2880" w:type="dxa"/>
            <w:shd w:val="clear" w:color="auto" w:fill="1F4E79"/>
            <w:tcMar>
              <w:top w:w="70" w:type="dxa"/>
              <w:left w:w="80" w:type="dxa"/>
              <w:bottom w:w="70" w:type="dxa"/>
              <w:right w:w="80" w:type="dxa"/>
            </w:tcMar>
            <w:vAlign w:val="center"/>
          </w:tcPr>
          <w:p w14:paraId="33A8E178" w14:textId="77777777" w:rsidR="00843C23" w:rsidRPr="00BA4F7F" w:rsidRDefault="00000000">
            <w:pPr>
              <w:jc w:val="center"/>
            </w:pPr>
            <w:r w:rsidRPr="00BA4F7F">
              <w:rPr>
                <w:b/>
                <w:color w:val="FFFFFF"/>
                <w:sz w:val="16"/>
              </w:rPr>
              <w:t>Wskaźnik 2025</w:t>
            </w:r>
          </w:p>
        </w:tc>
        <w:tc>
          <w:tcPr>
            <w:tcW w:w="1872" w:type="dxa"/>
            <w:shd w:val="clear" w:color="auto" w:fill="1F4E79"/>
            <w:tcMar>
              <w:top w:w="70" w:type="dxa"/>
              <w:left w:w="80" w:type="dxa"/>
              <w:bottom w:w="70" w:type="dxa"/>
              <w:right w:w="80" w:type="dxa"/>
            </w:tcMar>
            <w:vAlign w:val="center"/>
          </w:tcPr>
          <w:p w14:paraId="70DE7A27" w14:textId="77777777" w:rsidR="00843C23" w:rsidRPr="00BA4F7F" w:rsidRDefault="00000000">
            <w:pPr>
              <w:jc w:val="center"/>
            </w:pPr>
            <w:r w:rsidRPr="00BA4F7F">
              <w:rPr>
                <w:b/>
                <w:color w:val="FFFFFF"/>
                <w:sz w:val="16"/>
              </w:rPr>
              <w:t>Wartość</w:t>
            </w:r>
          </w:p>
        </w:tc>
        <w:tc>
          <w:tcPr>
            <w:tcW w:w="4464" w:type="dxa"/>
            <w:shd w:val="clear" w:color="auto" w:fill="1F4E79"/>
            <w:tcMar>
              <w:top w:w="70" w:type="dxa"/>
              <w:left w:w="80" w:type="dxa"/>
              <w:bottom w:w="70" w:type="dxa"/>
              <w:right w:w="80" w:type="dxa"/>
            </w:tcMar>
            <w:vAlign w:val="center"/>
          </w:tcPr>
          <w:p w14:paraId="220127E6" w14:textId="77777777" w:rsidR="00843C23" w:rsidRPr="00BA4F7F" w:rsidRDefault="00000000">
            <w:pPr>
              <w:jc w:val="center"/>
            </w:pPr>
            <w:r w:rsidRPr="00BA4F7F">
              <w:rPr>
                <w:b/>
                <w:color w:val="FFFFFF"/>
                <w:sz w:val="16"/>
              </w:rPr>
              <w:t>Interpretacja IRS</w:t>
            </w:r>
          </w:p>
        </w:tc>
      </w:tr>
      <w:tr w:rsidR="00E2541F" w:rsidRPr="00BA4F7F" w14:paraId="573301C7" w14:textId="77777777">
        <w:trPr>
          <w:cantSplit/>
          <w:jc w:val="center"/>
        </w:trPr>
        <w:tc>
          <w:tcPr>
            <w:tcW w:w="2880" w:type="dxa"/>
            <w:tcMar>
              <w:top w:w="60" w:type="dxa"/>
              <w:left w:w="70" w:type="dxa"/>
              <w:bottom w:w="60" w:type="dxa"/>
              <w:right w:w="70" w:type="dxa"/>
            </w:tcMar>
            <w:vAlign w:val="center"/>
          </w:tcPr>
          <w:p w14:paraId="25DA0DD1" w14:textId="77777777" w:rsidR="00E2541F" w:rsidRPr="00BA4F7F" w:rsidRDefault="00E2541F" w:rsidP="00E2541F">
            <w:pPr>
              <w:jc w:val="left"/>
            </w:pPr>
            <w:r w:rsidRPr="00BA4F7F">
              <w:rPr>
                <w:b/>
                <w:sz w:val="15"/>
              </w:rPr>
              <w:t>Współczynnik dzietności</w:t>
            </w:r>
          </w:p>
        </w:tc>
        <w:tc>
          <w:tcPr>
            <w:tcW w:w="1872" w:type="dxa"/>
            <w:tcMar>
              <w:top w:w="60" w:type="dxa"/>
              <w:left w:w="70" w:type="dxa"/>
              <w:bottom w:w="60" w:type="dxa"/>
              <w:right w:w="70" w:type="dxa"/>
            </w:tcMar>
            <w:vAlign w:val="center"/>
          </w:tcPr>
          <w:p w14:paraId="3950C48C" w14:textId="77777777" w:rsidR="00E2541F" w:rsidRPr="00BA4F7F" w:rsidRDefault="00E2541F" w:rsidP="00E2541F">
            <w:pPr>
              <w:jc w:val="center"/>
            </w:pPr>
            <w:r w:rsidRPr="00BA4F7F">
              <w:rPr>
                <w:sz w:val="15"/>
              </w:rPr>
              <w:t>1,06</w:t>
            </w:r>
          </w:p>
        </w:tc>
        <w:tc>
          <w:tcPr>
            <w:tcW w:w="4464" w:type="dxa"/>
            <w:tcMar>
              <w:top w:w="60" w:type="dxa"/>
              <w:left w:w="70" w:type="dxa"/>
              <w:bottom w:w="60" w:type="dxa"/>
              <w:right w:w="70" w:type="dxa"/>
            </w:tcMar>
            <w:vAlign w:val="center"/>
          </w:tcPr>
          <w:p w14:paraId="6A90FC7C" w14:textId="77777777" w:rsidR="00E2541F" w:rsidRPr="00BA4F7F" w:rsidRDefault="00E2541F" w:rsidP="00E2541F">
            <w:pPr>
              <w:jc w:val="center"/>
            </w:pPr>
            <w:r w:rsidRPr="00BA4F7F">
              <w:rPr>
                <w:sz w:val="15"/>
              </w:rPr>
              <w:t>Krytycznie niski poziom podstawowego mechanizmu odtwarzania pokoleń.</w:t>
            </w:r>
          </w:p>
        </w:tc>
      </w:tr>
      <w:tr w:rsidR="00E2541F" w:rsidRPr="00BA4F7F" w14:paraId="4B91DCF8" w14:textId="77777777">
        <w:trPr>
          <w:cantSplit/>
          <w:jc w:val="center"/>
        </w:trPr>
        <w:tc>
          <w:tcPr>
            <w:tcW w:w="2880" w:type="dxa"/>
            <w:shd w:val="clear" w:color="auto" w:fill="F7F7F7"/>
            <w:tcMar>
              <w:top w:w="60" w:type="dxa"/>
              <w:left w:w="70" w:type="dxa"/>
              <w:bottom w:w="60" w:type="dxa"/>
              <w:right w:w="70" w:type="dxa"/>
            </w:tcMar>
            <w:vAlign w:val="center"/>
          </w:tcPr>
          <w:p w14:paraId="5AD81C3D" w14:textId="77777777" w:rsidR="00E2541F" w:rsidRPr="00BA4F7F" w:rsidRDefault="00E2541F" w:rsidP="00E2541F">
            <w:pPr>
              <w:jc w:val="left"/>
            </w:pPr>
            <w:r w:rsidRPr="00BA4F7F">
              <w:rPr>
                <w:b/>
                <w:sz w:val="15"/>
              </w:rPr>
              <w:t>Urodzenia żywe</w:t>
            </w:r>
          </w:p>
        </w:tc>
        <w:tc>
          <w:tcPr>
            <w:tcW w:w="1872" w:type="dxa"/>
            <w:shd w:val="clear" w:color="auto" w:fill="F7F7F7"/>
            <w:tcMar>
              <w:top w:w="60" w:type="dxa"/>
              <w:left w:w="70" w:type="dxa"/>
              <w:bottom w:w="60" w:type="dxa"/>
              <w:right w:w="70" w:type="dxa"/>
            </w:tcMar>
            <w:vAlign w:val="center"/>
          </w:tcPr>
          <w:p w14:paraId="2FC02E0C" w14:textId="77777777" w:rsidR="00E2541F" w:rsidRPr="00BA4F7F" w:rsidRDefault="00E2541F" w:rsidP="00E2541F">
            <w:pPr>
              <w:jc w:val="center"/>
            </w:pPr>
            <w:r w:rsidRPr="00BA4F7F">
              <w:rPr>
                <w:sz w:val="15"/>
              </w:rPr>
              <w:t>238 tys.</w:t>
            </w:r>
          </w:p>
        </w:tc>
        <w:tc>
          <w:tcPr>
            <w:tcW w:w="4464" w:type="dxa"/>
            <w:shd w:val="clear" w:color="auto" w:fill="F7F7F7"/>
            <w:tcMar>
              <w:top w:w="60" w:type="dxa"/>
              <w:left w:w="70" w:type="dxa"/>
              <w:bottom w:w="60" w:type="dxa"/>
              <w:right w:w="70" w:type="dxa"/>
            </w:tcMar>
            <w:vAlign w:val="center"/>
          </w:tcPr>
          <w:p w14:paraId="7AB34CAF" w14:textId="77777777" w:rsidR="00E2541F" w:rsidRPr="00BA4F7F" w:rsidRDefault="00E2541F" w:rsidP="00E2541F">
            <w:pPr>
              <w:jc w:val="center"/>
            </w:pPr>
            <w:r w:rsidRPr="00BA4F7F">
              <w:rPr>
                <w:sz w:val="15"/>
              </w:rPr>
              <w:t>Dana pomocnicza; pokazuje skalę kurczenia przyszłych roczników, ale nie jest osobno punktowana.</w:t>
            </w:r>
          </w:p>
        </w:tc>
      </w:tr>
      <w:tr w:rsidR="00E2541F" w:rsidRPr="00BA4F7F" w14:paraId="4363FACA" w14:textId="77777777">
        <w:trPr>
          <w:cantSplit/>
          <w:jc w:val="center"/>
        </w:trPr>
        <w:tc>
          <w:tcPr>
            <w:tcW w:w="2880" w:type="dxa"/>
            <w:tcMar>
              <w:top w:w="60" w:type="dxa"/>
              <w:left w:w="70" w:type="dxa"/>
              <w:bottom w:w="60" w:type="dxa"/>
              <w:right w:w="70" w:type="dxa"/>
            </w:tcMar>
            <w:vAlign w:val="center"/>
          </w:tcPr>
          <w:p w14:paraId="35D6F8A0" w14:textId="77777777" w:rsidR="00E2541F" w:rsidRPr="00BA4F7F" w:rsidRDefault="00E2541F" w:rsidP="00E2541F">
            <w:pPr>
              <w:jc w:val="left"/>
            </w:pPr>
            <w:r w:rsidRPr="00BA4F7F">
              <w:rPr>
                <w:b/>
                <w:sz w:val="15"/>
              </w:rPr>
              <w:t>Przyrost naturalny</w:t>
            </w:r>
          </w:p>
        </w:tc>
        <w:tc>
          <w:tcPr>
            <w:tcW w:w="1872" w:type="dxa"/>
            <w:tcMar>
              <w:top w:w="60" w:type="dxa"/>
              <w:left w:w="70" w:type="dxa"/>
              <w:bottom w:w="60" w:type="dxa"/>
              <w:right w:w="70" w:type="dxa"/>
            </w:tcMar>
            <w:vAlign w:val="center"/>
          </w:tcPr>
          <w:p w14:paraId="130CE67F" w14:textId="77777777" w:rsidR="00E2541F" w:rsidRPr="00BA4F7F" w:rsidRDefault="00E2541F" w:rsidP="00E2541F">
            <w:pPr>
              <w:jc w:val="center"/>
            </w:pPr>
            <w:r w:rsidRPr="00BA4F7F">
              <w:rPr>
                <w:sz w:val="15"/>
              </w:rPr>
              <w:t>−4,5‰</w:t>
            </w:r>
          </w:p>
        </w:tc>
        <w:tc>
          <w:tcPr>
            <w:tcW w:w="4464" w:type="dxa"/>
            <w:tcMar>
              <w:top w:w="60" w:type="dxa"/>
              <w:left w:w="70" w:type="dxa"/>
              <w:bottom w:w="60" w:type="dxa"/>
              <w:right w:w="70" w:type="dxa"/>
            </w:tcMar>
            <w:vAlign w:val="center"/>
          </w:tcPr>
          <w:p w14:paraId="70F35DD7" w14:textId="77777777" w:rsidR="00E2541F" w:rsidRPr="00BA4F7F" w:rsidRDefault="00E2541F" w:rsidP="00E2541F">
            <w:pPr>
              <w:jc w:val="center"/>
            </w:pPr>
            <w:r w:rsidRPr="00BA4F7F">
              <w:rPr>
                <w:sz w:val="15"/>
              </w:rPr>
              <w:t>Trwała przewaga zgonów nad urodzeniami i ubytek biologiczny populacji.</w:t>
            </w:r>
          </w:p>
        </w:tc>
      </w:tr>
      <w:tr w:rsidR="00E2541F" w:rsidRPr="00BA4F7F" w14:paraId="5A3CB7D5" w14:textId="77777777">
        <w:trPr>
          <w:cantSplit/>
          <w:jc w:val="center"/>
        </w:trPr>
        <w:tc>
          <w:tcPr>
            <w:tcW w:w="2880" w:type="dxa"/>
            <w:shd w:val="clear" w:color="auto" w:fill="F7F7F7"/>
            <w:tcMar>
              <w:top w:w="60" w:type="dxa"/>
              <w:left w:w="70" w:type="dxa"/>
              <w:bottom w:w="60" w:type="dxa"/>
              <w:right w:w="70" w:type="dxa"/>
            </w:tcMar>
            <w:vAlign w:val="center"/>
          </w:tcPr>
          <w:p w14:paraId="6D98F09F" w14:textId="77777777" w:rsidR="00E2541F" w:rsidRPr="00BA4F7F" w:rsidRDefault="00E2541F" w:rsidP="00E2541F">
            <w:pPr>
              <w:jc w:val="left"/>
            </w:pPr>
            <w:r w:rsidRPr="00BA4F7F">
              <w:rPr>
                <w:b/>
                <w:sz w:val="15"/>
              </w:rPr>
              <w:t>Ludność ogółem</w:t>
            </w:r>
          </w:p>
        </w:tc>
        <w:tc>
          <w:tcPr>
            <w:tcW w:w="1872" w:type="dxa"/>
            <w:shd w:val="clear" w:color="auto" w:fill="F7F7F7"/>
            <w:tcMar>
              <w:top w:w="60" w:type="dxa"/>
              <w:left w:w="70" w:type="dxa"/>
              <w:bottom w:w="60" w:type="dxa"/>
              <w:right w:w="70" w:type="dxa"/>
            </w:tcMar>
            <w:vAlign w:val="center"/>
          </w:tcPr>
          <w:p w14:paraId="1F53EA6A" w14:textId="77777777" w:rsidR="00E2541F" w:rsidRPr="00BA4F7F" w:rsidRDefault="00E2541F" w:rsidP="00E2541F">
            <w:pPr>
              <w:jc w:val="center"/>
            </w:pPr>
            <w:r w:rsidRPr="00BA4F7F">
              <w:rPr>
                <w:sz w:val="15"/>
              </w:rPr>
              <w:t>37,3 mln</w:t>
            </w:r>
          </w:p>
        </w:tc>
        <w:tc>
          <w:tcPr>
            <w:tcW w:w="4464" w:type="dxa"/>
            <w:shd w:val="clear" w:color="auto" w:fill="F7F7F7"/>
            <w:tcMar>
              <w:top w:w="60" w:type="dxa"/>
              <w:left w:w="70" w:type="dxa"/>
              <w:bottom w:w="60" w:type="dxa"/>
              <w:right w:w="70" w:type="dxa"/>
            </w:tcMar>
            <w:vAlign w:val="center"/>
          </w:tcPr>
          <w:p w14:paraId="7154B8A6" w14:textId="77777777" w:rsidR="00E2541F" w:rsidRPr="00BA4F7F" w:rsidRDefault="00E2541F" w:rsidP="00E2541F">
            <w:pPr>
              <w:jc w:val="center"/>
            </w:pPr>
            <w:r w:rsidRPr="00BA4F7F">
              <w:rPr>
                <w:sz w:val="15"/>
              </w:rPr>
              <w:t>Zasób niższy od ścieżki prognozy GUS; pogorszenie pozostaje niewielkie procentowo, lecz kumulacyjne.</w:t>
            </w:r>
          </w:p>
        </w:tc>
      </w:tr>
      <w:tr w:rsidR="00E2541F" w:rsidRPr="00BA4F7F" w14:paraId="06544CEB" w14:textId="77777777">
        <w:trPr>
          <w:cantSplit/>
          <w:jc w:val="center"/>
        </w:trPr>
        <w:tc>
          <w:tcPr>
            <w:tcW w:w="2880" w:type="dxa"/>
            <w:tcMar>
              <w:top w:w="60" w:type="dxa"/>
              <w:left w:w="70" w:type="dxa"/>
              <w:bottom w:w="60" w:type="dxa"/>
              <w:right w:w="70" w:type="dxa"/>
            </w:tcMar>
            <w:vAlign w:val="center"/>
          </w:tcPr>
          <w:p w14:paraId="66654636" w14:textId="77777777" w:rsidR="00E2541F" w:rsidRPr="00BA4F7F" w:rsidRDefault="00E2541F" w:rsidP="00E2541F">
            <w:pPr>
              <w:jc w:val="left"/>
            </w:pPr>
            <w:r w:rsidRPr="00BA4F7F">
              <w:rPr>
                <w:b/>
                <w:sz w:val="15"/>
              </w:rPr>
              <w:t>Udział wieku produkcyjnego</w:t>
            </w:r>
          </w:p>
        </w:tc>
        <w:tc>
          <w:tcPr>
            <w:tcW w:w="1872" w:type="dxa"/>
            <w:tcMar>
              <w:top w:w="60" w:type="dxa"/>
              <w:left w:w="70" w:type="dxa"/>
              <w:bottom w:w="60" w:type="dxa"/>
              <w:right w:w="70" w:type="dxa"/>
            </w:tcMar>
            <w:vAlign w:val="center"/>
          </w:tcPr>
          <w:p w14:paraId="56436BAB" w14:textId="77777777" w:rsidR="00E2541F" w:rsidRPr="00BA4F7F" w:rsidRDefault="00E2541F" w:rsidP="00E2541F">
            <w:pPr>
              <w:jc w:val="center"/>
            </w:pPr>
            <w:r w:rsidRPr="00BA4F7F">
              <w:rPr>
                <w:sz w:val="15"/>
              </w:rPr>
              <w:t>58,1%</w:t>
            </w:r>
          </w:p>
        </w:tc>
        <w:tc>
          <w:tcPr>
            <w:tcW w:w="4464" w:type="dxa"/>
            <w:tcMar>
              <w:top w:w="60" w:type="dxa"/>
              <w:left w:w="70" w:type="dxa"/>
              <w:bottom w:w="60" w:type="dxa"/>
              <w:right w:w="70" w:type="dxa"/>
            </w:tcMar>
            <w:vAlign w:val="center"/>
          </w:tcPr>
          <w:p w14:paraId="73866818" w14:textId="77777777" w:rsidR="00E2541F" w:rsidRPr="00BA4F7F" w:rsidRDefault="00E2541F" w:rsidP="00E2541F">
            <w:pPr>
              <w:jc w:val="center"/>
            </w:pPr>
            <w:r w:rsidRPr="00BA4F7F">
              <w:rPr>
                <w:sz w:val="15"/>
              </w:rPr>
              <w:t>Malejąca baza pracy, podatków, składek oraz zasobów dla służb publicznych.</w:t>
            </w:r>
          </w:p>
        </w:tc>
      </w:tr>
      <w:tr w:rsidR="00E2541F" w:rsidRPr="00BA4F7F" w14:paraId="07FB8398" w14:textId="77777777">
        <w:trPr>
          <w:cantSplit/>
          <w:jc w:val="center"/>
        </w:trPr>
        <w:tc>
          <w:tcPr>
            <w:tcW w:w="2880" w:type="dxa"/>
            <w:shd w:val="clear" w:color="auto" w:fill="F7F7F7"/>
            <w:tcMar>
              <w:top w:w="60" w:type="dxa"/>
              <w:left w:w="70" w:type="dxa"/>
              <w:bottom w:w="60" w:type="dxa"/>
              <w:right w:w="70" w:type="dxa"/>
            </w:tcMar>
            <w:vAlign w:val="center"/>
          </w:tcPr>
          <w:p w14:paraId="6B1791EF" w14:textId="77777777" w:rsidR="00E2541F" w:rsidRPr="00BA4F7F" w:rsidRDefault="00E2541F" w:rsidP="00E2541F">
            <w:pPr>
              <w:jc w:val="left"/>
            </w:pPr>
            <w:r w:rsidRPr="00BA4F7F">
              <w:rPr>
                <w:b/>
                <w:sz w:val="15"/>
              </w:rPr>
              <w:t>Obciążenie poprodukcyjne</w:t>
            </w:r>
          </w:p>
        </w:tc>
        <w:tc>
          <w:tcPr>
            <w:tcW w:w="1872" w:type="dxa"/>
            <w:shd w:val="clear" w:color="auto" w:fill="F7F7F7"/>
            <w:tcMar>
              <w:top w:w="60" w:type="dxa"/>
              <w:left w:w="70" w:type="dxa"/>
              <w:bottom w:w="60" w:type="dxa"/>
              <w:right w:w="70" w:type="dxa"/>
            </w:tcMar>
            <w:vAlign w:val="center"/>
          </w:tcPr>
          <w:p w14:paraId="0246715E" w14:textId="77777777" w:rsidR="00E2541F" w:rsidRPr="00BA4F7F" w:rsidRDefault="00E2541F" w:rsidP="00E2541F">
            <w:pPr>
              <w:jc w:val="center"/>
            </w:pPr>
            <w:r w:rsidRPr="00BA4F7F">
              <w:rPr>
                <w:sz w:val="15"/>
              </w:rPr>
              <w:t>42 na 100</w:t>
            </w:r>
          </w:p>
        </w:tc>
        <w:tc>
          <w:tcPr>
            <w:tcW w:w="4464" w:type="dxa"/>
            <w:shd w:val="clear" w:color="auto" w:fill="F7F7F7"/>
            <w:tcMar>
              <w:top w:w="60" w:type="dxa"/>
              <w:left w:w="70" w:type="dxa"/>
              <w:bottom w:w="60" w:type="dxa"/>
              <w:right w:w="70" w:type="dxa"/>
            </w:tcMar>
            <w:vAlign w:val="center"/>
          </w:tcPr>
          <w:p w14:paraId="6377DA38" w14:textId="77777777" w:rsidR="00E2541F" w:rsidRPr="00BA4F7F" w:rsidRDefault="00E2541F" w:rsidP="00E2541F">
            <w:pPr>
              <w:jc w:val="center"/>
            </w:pPr>
            <w:r w:rsidRPr="00BA4F7F">
              <w:rPr>
                <w:sz w:val="15"/>
              </w:rPr>
              <w:t>Rosnąca presja na emerytury, zdrowie, opiekę długoterminową i finanse publiczne.</w:t>
            </w:r>
          </w:p>
        </w:tc>
      </w:tr>
    </w:tbl>
    <w:p w14:paraId="56F42241" w14:textId="77777777" w:rsidR="00843C23" w:rsidRPr="00BA4F7F" w:rsidRDefault="00843C23">
      <w:pPr>
        <w:spacing w:after="20" w:line="259" w:lineRule="auto"/>
      </w:pPr>
    </w:p>
    <w:tbl>
      <w:tblPr>
        <w:tblW w:w="0" w:type="auto"/>
        <w:jc w:val="center"/>
        <w:tblLayout w:type="fixed"/>
        <w:tblLook w:val="04A0" w:firstRow="1" w:lastRow="0" w:firstColumn="1" w:lastColumn="0" w:noHBand="0" w:noVBand="1"/>
      </w:tblPr>
      <w:tblGrid>
        <w:gridCol w:w="9432"/>
      </w:tblGrid>
      <w:tr w:rsidR="00843C23" w:rsidRPr="00BA4F7F" w14:paraId="7D5BE109" w14:textId="77777777">
        <w:trPr>
          <w:cantSplit/>
          <w:jc w:val="center"/>
        </w:trPr>
        <w:tc>
          <w:tcPr>
            <w:tcW w:w="9432" w:type="dxa"/>
            <w:tcBorders>
              <w:top w:val="single" w:sz="8" w:space="0" w:color="A61B1B"/>
              <w:left w:val="single" w:sz="8" w:space="0" w:color="A61B1B"/>
              <w:bottom w:val="single" w:sz="8" w:space="0" w:color="A61B1B"/>
              <w:right w:val="single" w:sz="8" w:space="0" w:color="A61B1B"/>
            </w:tcBorders>
            <w:shd w:val="clear" w:color="auto" w:fill="F4CCCC"/>
            <w:tcMar>
              <w:top w:w="130" w:type="dxa"/>
              <w:left w:w="160" w:type="dxa"/>
              <w:bottom w:w="130" w:type="dxa"/>
              <w:right w:w="160" w:type="dxa"/>
            </w:tcMar>
            <w:vAlign w:val="center"/>
          </w:tcPr>
          <w:p w14:paraId="6ED2EEC1" w14:textId="77777777" w:rsidR="00843C23" w:rsidRPr="00BA4F7F" w:rsidRDefault="00000000">
            <w:pPr>
              <w:spacing w:after="60"/>
            </w:pPr>
            <w:r w:rsidRPr="00BA4F7F">
              <w:rPr>
                <w:b/>
                <w:color w:val="A61B1B"/>
                <w:sz w:val="21"/>
              </w:rPr>
              <w:t>Najtwardszy test skuteczności państwa</w:t>
            </w:r>
          </w:p>
          <w:p w14:paraId="2D1E4578" w14:textId="77777777" w:rsidR="00843C23" w:rsidRPr="00BA4F7F" w:rsidRDefault="00E2541F">
            <w:pPr>
              <w:spacing w:after="0"/>
            </w:pPr>
            <w:r w:rsidRPr="00BA4F7F">
              <w:t>Transfer można uruchomić w jednym cyklu budżetowym, lecz odbudowa decyzji rodzinnych wymaga trwałego zaufania do przyszłości i spójności wielu polityk. Demografia weryfikuje nie skalę pojedynczego programu, ale to, czy model mieszkaniowy, zdrowotny, gospodarczy i kulturowy państwa sprzyja powstawaniu stabilnych rodzin.</w:t>
            </w:r>
          </w:p>
        </w:tc>
      </w:tr>
    </w:tbl>
    <w:p w14:paraId="48D50B4F" w14:textId="77777777" w:rsidR="00843C23" w:rsidRPr="00BA4F7F" w:rsidRDefault="00843C23">
      <w:pPr>
        <w:spacing w:after="20" w:line="259" w:lineRule="auto"/>
      </w:pPr>
    </w:p>
    <w:p w14:paraId="301FA50D" w14:textId="77777777" w:rsidR="00E2541F" w:rsidRPr="00BA4F7F" w:rsidRDefault="00E2541F" w:rsidP="00E2541F">
      <w:pPr>
        <w:spacing w:line="259" w:lineRule="auto"/>
      </w:pPr>
      <w:r w:rsidRPr="00BA4F7F">
        <w:t>Podejście strategiczne powinno wzmacniać rodzinę jako trwałą instytucję społeczną, ale nie może redukować problemu do moralizowania ani do jednego świadczenia. Polityka odporności demograficznej musi równocześnie zwiększać dostępność mieszkań, stabilność dochodową młodych dorosłych, możliwość godzenia pracy z rodzicielstwem, dostęp do opieki i zdrowia prokreacyjnego oraz przewidywalność reguł. Warunkiem wiarygodności jest ocena rezultatów, a nie liczby programów: państwo powinno identyfikować konkretne bariery i sprawdzać, czy zostały rzeczywiście zmniejszone.</w:t>
      </w:r>
    </w:p>
    <w:p w14:paraId="490BA4E9" w14:textId="77777777" w:rsidR="00E2541F" w:rsidRPr="00BA4F7F" w:rsidRDefault="00E2541F" w:rsidP="00E2541F">
      <w:pPr>
        <w:spacing w:line="259" w:lineRule="auto"/>
      </w:pPr>
      <w:r w:rsidRPr="00BA4F7F">
        <w:t>Potrzebna jest międzyresortowa architektura zarządzania z horyzontami 3, 10 i 25 lat. Krótki horyzont powinien dotyczyć dostępności świadczeń, mieszkań i opieki; średni – wejścia mniejszych roczników na rynek pracy oraz zmian sieci usług; długi – stabilności finansów publicznych, systemu emerytalnego, zdrowia i zdolności mobilizacyjnych. Mierniki muszą obejmować zarówno dzietność i strukturę wieku, jak i poprzedzające je warunki decyzji rodzinnych. Pozwala to odróżnić aktywność administracyjną od rzeczywistego zwiększenia odporności.</w:t>
      </w:r>
    </w:p>
    <w:p w14:paraId="5EC25988" w14:textId="77777777" w:rsidR="00E2541F" w:rsidRPr="00BA4F7F" w:rsidRDefault="00E2541F" w:rsidP="00E2541F">
      <w:pPr>
        <w:spacing w:line="259" w:lineRule="auto"/>
      </w:pPr>
      <w:r w:rsidRPr="00BA4F7F">
        <w:t>Migracja może łagodzić niedobory pracy i poprawiać strukturę wieku, ale nie zastępuje odtwarzania wspólnoty. Jej bilans zależy od selektywności, integracji i kosztów dla usług publicznych; dlatego powinna uzupełniać, a nie zastępować politykę rodzinną.</w:t>
      </w:r>
    </w:p>
    <w:p w14:paraId="60F19CE8" w14:textId="77777777" w:rsidR="00843C23" w:rsidRPr="00BA4F7F" w:rsidRDefault="00000000">
      <w:pPr>
        <w:spacing w:line="259" w:lineRule="auto"/>
      </w:pPr>
      <w:r w:rsidRPr="00BA4F7F">
        <w:br w:type="page"/>
      </w:r>
    </w:p>
    <w:p w14:paraId="301D5CB4" w14:textId="77777777" w:rsidR="00843C23" w:rsidRPr="00BA4F7F" w:rsidRDefault="00000000">
      <w:pPr>
        <w:pStyle w:val="ChapterKicker"/>
        <w:keepNext/>
        <w:keepLines/>
        <w:rPr>
          <w:lang w:val="pl-PL"/>
        </w:rPr>
      </w:pPr>
      <w:r w:rsidRPr="00BA4F7F">
        <w:rPr>
          <w:lang w:val="pl-PL"/>
        </w:rPr>
        <w:lastRenderedPageBreak/>
        <w:t>SUBINDEKS 4</w:t>
      </w:r>
    </w:p>
    <w:p w14:paraId="717A38DC" w14:textId="77777777" w:rsidR="00843C23" w:rsidRPr="00BA4F7F" w:rsidRDefault="00000000">
      <w:pPr>
        <w:pStyle w:val="Nagwek1"/>
        <w:spacing w:before="0"/>
      </w:pPr>
      <w:bookmarkStart w:id="16" w:name="_Toc236400278"/>
      <w:bookmarkStart w:id="17" w:name="_Toc236400505"/>
      <w:r w:rsidRPr="00BA4F7F">
        <w:t>9. Spójność społeczna – poprawa materialna bez pełnej odbudowy zaufania</w:t>
      </w:r>
      <w:bookmarkEnd w:id="16"/>
      <w:bookmarkEnd w:id="17"/>
    </w:p>
    <w:tbl>
      <w:tblPr>
        <w:tblW w:w="0" w:type="auto"/>
        <w:tblLayout w:type="fixed"/>
        <w:tblLook w:val="04A0" w:firstRow="1" w:lastRow="0" w:firstColumn="1" w:lastColumn="0" w:noHBand="0" w:noVBand="1"/>
      </w:tblPr>
      <w:tblGrid>
        <w:gridCol w:w="1872"/>
        <w:gridCol w:w="7200"/>
      </w:tblGrid>
      <w:tr w:rsidR="00843C23" w:rsidRPr="00BA4F7F" w14:paraId="3C547243" w14:textId="77777777">
        <w:trPr>
          <w:cantSplit/>
        </w:trPr>
        <w:tc>
          <w:tcPr>
            <w:tcW w:w="1872" w:type="dxa"/>
            <w:shd w:val="clear" w:color="auto" w:fill="1F4E79"/>
            <w:vAlign w:val="center"/>
          </w:tcPr>
          <w:p w14:paraId="78E43718" w14:textId="77777777" w:rsidR="00843C23" w:rsidRPr="00BA4F7F" w:rsidRDefault="00000000">
            <w:pPr>
              <w:jc w:val="center"/>
            </w:pPr>
            <w:r w:rsidRPr="00BA4F7F">
              <w:rPr>
                <w:b/>
                <w:color w:val="FFFFFF"/>
                <w:sz w:val="48"/>
              </w:rPr>
              <w:t>57,2</w:t>
            </w:r>
          </w:p>
        </w:tc>
        <w:tc>
          <w:tcPr>
            <w:tcW w:w="7200" w:type="dxa"/>
            <w:shd w:val="clear" w:color="auto" w:fill="F3F6F9"/>
            <w:vAlign w:val="center"/>
          </w:tcPr>
          <w:p w14:paraId="66229891" w14:textId="77777777" w:rsidR="00843C23" w:rsidRPr="00BA4F7F" w:rsidRDefault="00000000">
            <w:r w:rsidRPr="00BA4F7F">
              <w:rPr>
                <w:b/>
                <w:color w:val="17365D"/>
                <w:sz w:val="22"/>
              </w:rPr>
              <w:t>słaba lub niepełna odporność</w:t>
            </w:r>
          </w:p>
          <w:p w14:paraId="5843CE76" w14:textId="77777777" w:rsidR="00843C23" w:rsidRPr="00BA4F7F" w:rsidRDefault="00000000">
            <w:r w:rsidRPr="00BA4F7F">
              <w:rPr>
                <w:color w:val="666666"/>
                <w:sz w:val="16"/>
              </w:rPr>
              <w:t xml:space="preserve">Ocena w skali 0–100 pkt. </w:t>
            </w:r>
          </w:p>
        </w:tc>
      </w:tr>
    </w:tbl>
    <w:p w14:paraId="0EB055AD" w14:textId="77777777" w:rsidR="00184EB0" w:rsidRPr="00BA4F7F" w:rsidRDefault="00184EB0" w:rsidP="00184EB0">
      <w:pPr>
        <w:pStyle w:val="Lead"/>
        <w:rPr>
          <w:lang w:val="pl-PL"/>
        </w:rPr>
      </w:pPr>
      <w:r w:rsidRPr="00BA4F7F">
        <w:rPr>
          <w:lang w:val="pl-PL"/>
        </w:rPr>
        <w:t>Polska poprawiła materialne warunki życia szybciej niż zdolność do wytwarzania zaufania, obywatelskiej sprawczości i trwałej integracji społecznej.</w:t>
      </w:r>
    </w:p>
    <w:p w14:paraId="1DD37F74" w14:textId="77777777" w:rsidR="00843C23" w:rsidRPr="00BA4F7F" w:rsidRDefault="00184EB0" w:rsidP="00184EB0">
      <w:pPr>
        <w:pStyle w:val="Lead"/>
        <w:keepNext/>
        <w:keepLines/>
        <w:rPr>
          <w:lang w:val="pl-PL"/>
        </w:rPr>
      </w:pPr>
      <w:r w:rsidRPr="00BA4F7F">
        <w:rPr>
          <w:noProof/>
          <w:lang w:val="pl-PL"/>
        </w:rPr>
        <w:drawing>
          <wp:inline distT="0" distB="0" distL="0" distR="0" wp14:anchorId="661D4FFE" wp14:editId="0D92AB6D">
            <wp:extent cx="5897880" cy="3242109"/>
            <wp:effectExtent l="0" t="0" r="0" b="0"/>
            <wp:docPr id="16905763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ykres_spojnosc_spoleczna_2020_2025.png"/>
                    <pic:cNvPicPr/>
                  </pic:nvPicPr>
                  <pic:blipFill>
                    <a:blip r:embed="rId18"/>
                    <a:stretch>
                      <a:fillRect/>
                    </a:stretch>
                  </pic:blipFill>
                  <pic:spPr>
                    <a:xfrm>
                      <a:off x="0" y="0"/>
                      <a:ext cx="5897880" cy="3242109"/>
                    </a:xfrm>
                    <a:prstGeom prst="rect">
                      <a:avLst/>
                    </a:prstGeom>
                  </pic:spPr>
                </pic:pic>
              </a:graphicData>
            </a:graphic>
          </wp:inline>
        </w:drawing>
      </w:r>
    </w:p>
    <w:p w14:paraId="55CD420E" w14:textId="77777777" w:rsidR="00843C23" w:rsidRPr="00BA4F7F" w:rsidRDefault="00000000">
      <w:pPr>
        <w:pStyle w:val="Legenda"/>
        <w:keepNext/>
        <w:keepLines/>
        <w:jc w:val="center"/>
      </w:pPr>
      <w:r w:rsidRPr="00BA4F7F">
        <w:t xml:space="preserve">Wykres 10. Dwa </w:t>
      </w:r>
      <w:proofErr w:type="spellStart"/>
      <w:r w:rsidRPr="00BA4F7F">
        <w:t>subobszary</w:t>
      </w:r>
      <w:proofErr w:type="spellEnd"/>
      <w:r w:rsidRPr="00BA4F7F">
        <w:t xml:space="preserve"> Spójności społecznej.</w:t>
      </w:r>
    </w:p>
    <w:p w14:paraId="3E6C06C7" w14:textId="77777777" w:rsidR="00184EB0" w:rsidRPr="00BA4F7F" w:rsidRDefault="00184EB0" w:rsidP="00184EB0"/>
    <w:p w14:paraId="514CC527" w14:textId="77777777" w:rsidR="00184EB0" w:rsidRPr="00BA4F7F" w:rsidRDefault="00184EB0" w:rsidP="00792352">
      <w:r w:rsidRPr="00BA4F7F">
        <w:t>Spójność społeczna obniża się z 60,1 pkt w 2020 r. do minimum 52,5 pkt w 2022 r., a następnie odbudowuje do 57,2 pkt w 2025 r. Trajektoria odzwierciedla okres kumulacji pandemii, inflacji, wojny za wschodnią granicą, masowego napływu uchodźców oraz sporów o migrację i koszty życia. Wynik nie pokazuje rozpadu społeczeństwa. Pokazuje natomiast, że zdolność adaptacji do kryzysu nie jest tym samym co trwała odbudowa zaufania i poczucia wspólnego kierunku.</w:t>
      </w:r>
    </w:p>
    <w:p w14:paraId="0934403D" w14:textId="77777777" w:rsidR="00184EB0" w:rsidRPr="00BA4F7F" w:rsidRDefault="00184EB0" w:rsidP="00792352">
      <w:r w:rsidRPr="00BA4F7F">
        <w:t xml:space="preserve">Najmocniejszy jest </w:t>
      </w:r>
      <w:proofErr w:type="spellStart"/>
      <w:r w:rsidRPr="00BA4F7F">
        <w:t>subobszar</w:t>
      </w:r>
      <w:proofErr w:type="spellEnd"/>
      <w:r w:rsidRPr="00BA4F7F">
        <w:t xml:space="preserve"> Dochody i warunki życia – 76,5 pkt. Polska osiąga korzystniejszy niż średnia UE poziom zagrożenia ubóstwem lub wykluczeniem społecznym oraz niższe nierówności dochodowe, a realna siła nabywcza dochodów stopniowo zbliża się do poziomu UE27. Słabością pozostają warunki mieszkaniowe: przeludnienie na poziomie 30,9% jest niemal dwukrotnie wyższe niż średnia unijna. Jest to nie tylko problem komfortu. Łączy politykę społeczną z demografią, mobilnością pracy, zdrowiem i możliwością usamodzielnienia się młodych dorosłych.</w:t>
      </w:r>
    </w:p>
    <w:p w14:paraId="34911A2F" w14:textId="77777777" w:rsidR="00184EB0" w:rsidRPr="00BA4F7F" w:rsidRDefault="00184EB0" w:rsidP="00792352">
      <w:r w:rsidRPr="00BA4F7F">
        <w:t>Integracja i kapitał społeczny osiągają 38,0 pkt. Zaufanie uogólnione wynosi 24%, a 59% badanych deklaruje wpływ na sprawy miasta lub gminy. Doświadczenie pierwszych miesięcy po rosyjskiej agresji na Ukrainę pokazało bardzo wysoką zdolność obywateli, samorządów, organizacji i parafii do mobilizacji pomocy. Nie przełożyło się to automatycznie na równie wysoki poziom codziennego zaufania do anonimowych współobywateli. Jest to ważne rozróżnienie: solidarność uruchamiana przez nadzwyczajne zagrożenie może współistnieć ze słabym kapitałem zaufania potrzebnym do rutynowej współpracy, reform i przestrzegania wspólnych reguł.</w:t>
      </w:r>
    </w:p>
    <w:p w14:paraId="3DA6557D" w14:textId="77777777" w:rsidR="00184EB0" w:rsidRPr="00BA4F7F" w:rsidRDefault="00184EB0" w:rsidP="00792352">
      <w:r w:rsidRPr="00BA4F7F">
        <w:t xml:space="preserve">Wskaźnik liczby cudzoziemców podejrzanych o popełnienie przestępstwa wymaga szczególnie ostrożnej interpretacji. Model wykorzystuje liczbę bezwzględną jako miarę obciążenia instytucji bezpieczeństwa i potencjalnych napięć integracyjnych. Nie jest to wskaźnik skłonności cudzoziemców do przestępczości, ponieważ nie uwzględnia liczby cudzoziemców przebywających w Polsce, struktury wieku i płci, zmian prawa, intensywności </w:t>
      </w:r>
      <w:r w:rsidRPr="00BA4F7F">
        <w:lastRenderedPageBreak/>
        <w:t>działań organów ani różnic rejestracyjnych. Wnioski powinny więc dotyczyć zdolności państwa do zarządzania integracją i egzekwowania prawa, a nie oceny całych grup ludności.</w:t>
      </w:r>
    </w:p>
    <w:p w14:paraId="312A8323" w14:textId="77777777" w:rsidR="00184EB0" w:rsidRPr="00BA4F7F" w:rsidRDefault="00184EB0" w:rsidP="00792352">
      <w:r w:rsidRPr="00BA4F7F">
        <w:t>Także dane o zaufaniu i poczuciu wpływu nie są obserwowane corocznie. W latach bez nowego pomiaru model stosuje ostatnią dostępną wartość, bez interpolowania z wykorzystaniem przyszłych danych. Ogranicza to arbitralność, ale oznacza, że niewielkie roczne zmiany wyniku nie powinny być przedstawiane z pozorną precyzją. Najbardziej wiarygodna jest diagnoza strukturalna: poprawa warunków materialnych jest trwała, natomiast kapitał społeczny pozostaje niski i bardziej podatny na szoki oraz sposób prowadzenia polityki publicznej.</w:t>
      </w:r>
    </w:p>
    <w:p w14:paraId="46F5B0AD" w14:textId="77777777" w:rsidR="00184EB0" w:rsidRPr="00BA4F7F" w:rsidRDefault="00184EB0" w:rsidP="00792352">
      <w:r w:rsidRPr="00BA4F7F">
        <w:t>Spójność społeczna jest praktyczną infrastrukturą państwa. Wysoki poziom zaufania obniża koszty transakcyjne, ułatwia samoorganizację, zwiększa akceptację wyrzeczeń i pozwala szybciej działać w kryzysie. Niski poziom zaufania nie musi prowadzić do natychmiastowej destabilizacji, ale sprawia, że państwo częściej musi zastępować współpracę kontrolą, transferem lub przymusem. Strategiczny cel nie powinien ograniczać się do ochrony dochodów: wymaga wzmacniania rodziny, samorządności, instytucji pośrednich, lokalnych sieci bezpieczeństwa i wiarygodnego zarządzania procesami migracyjnymi.</w:t>
      </w:r>
    </w:p>
    <w:p w14:paraId="5A87CA51" w14:textId="77777777" w:rsidR="00184EB0" w:rsidRPr="00BA4F7F" w:rsidRDefault="00184EB0" w:rsidP="00184EB0">
      <w:r w:rsidRPr="00BA4F7F">
        <w:t>Priorytetem jest równoległe wzmacnianie bezpieczeństwa materialnego i infrastruktury zaufania. Polityka mieszkaniowa, stabilne usługi lokalne, przejrzyste reguły integracji, konsekwentne egzekwowanie prawa oraz realny udział obywateli w sprawach wspólnoty powinny być oceniane przez rezultaty: poprawę warunków życia, większą gotowość do współpracy i zdolność samorządów oraz organizacji społecznych do wspólnego działania w kryzysie.</w:t>
      </w:r>
    </w:p>
    <w:tbl>
      <w:tblPr>
        <w:tblStyle w:val="Tabela-Siatka"/>
        <w:tblW w:w="0" w:type="auto"/>
        <w:jc w:val="center"/>
        <w:tblLayout w:type="fixed"/>
        <w:tblLook w:val="04A0" w:firstRow="1" w:lastRow="0" w:firstColumn="1" w:lastColumn="0" w:noHBand="0" w:noVBand="1"/>
      </w:tblPr>
      <w:tblGrid>
        <w:gridCol w:w="2880"/>
        <w:gridCol w:w="1872"/>
        <w:gridCol w:w="4608"/>
      </w:tblGrid>
      <w:tr w:rsidR="00184EB0" w:rsidRPr="00BA4F7F" w14:paraId="1A3DAF11" w14:textId="77777777" w:rsidTr="00184EB0">
        <w:trPr>
          <w:cantSplit/>
          <w:tblHeader/>
          <w:jc w:val="center"/>
        </w:trPr>
        <w:tc>
          <w:tcPr>
            <w:tcW w:w="2880" w:type="dxa"/>
            <w:shd w:val="clear" w:color="auto" w:fill="1F4E79"/>
            <w:tcMar>
              <w:top w:w="70" w:type="dxa"/>
              <w:left w:w="80" w:type="dxa"/>
              <w:bottom w:w="70" w:type="dxa"/>
              <w:right w:w="80" w:type="dxa"/>
            </w:tcMar>
            <w:vAlign w:val="center"/>
          </w:tcPr>
          <w:p w14:paraId="26696DBA" w14:textId="77777777" w:rsidR="00184EB0" w:rsidRPr="00BA4F7F" w:rsidRDefault="00184EB0" w:rsidP="00792352">
            <w:pPr>
              <w:jc w:val="center"/>
            </w:pPr>
            <w:r w:rsidRPr="00BA4F7F">
              <w:rPr>
                <w:b/>
                <w:color w:val="FFFFFF"/>
                <w:sz w:val="16"/>
              </w:rPr>
              <w:t>Wskaźnik 2025</w:t>
            </w:r>
          </w:p>
        </w:tc>
        <w:tc>
          <w:tcPr>
            <w:tcW w:w="1872" w:type="dxa"/>
            <w:shd w:val="clear" w:color="auto" w:fill="1F4E79"/>
            <w:tcMar>
              <w:top w:w="70" w:type="dxa"/>
              <w:left w:w="80" w:type="dxa"/>
              <w:bottom w:w="70" w:type="dxa"/>
              <w:right w:w="80" w:type="dxa"/>
            </w:tcMar>
            <w:vAlign w:val="center"/>
          </w:tcPr>
          <w:p w14:paraId="35A34C6B" w14:textId="77777777" w:rsidR="00184EB0" w:rsidRPr="00BA4F7F" w:rsidRDefault="00184EB0" w:rsidP="00792352">
            <w:pPr>
              <w:jc w:val="center"/>
            </w:pPr>
            <w:r w:rsidRPr="00BA4F7F">
              <w:rPr>
                <w:b/>
                <w:color w:val="FFFFFF"/>
                <w:sz w:val="16"/>
              </w:rPr>
              <w:t>Wartość</w:t>
            </w:r>
          </w:p>
        </w:tc>
        <w:tc>
          <w:tcPr>
            <w:tcW w:w="4608" w:type="dxa"/>
            <w:shd w:val="clear" w:color="auto" w:fill="1F4E79"/>
            <w:tcMar>
              <w:top w:w="70" w:type="dxa"/>
              <w:left w:w="80" w:type="dxa"/>
              <w:bottom w:w="70" w:type="dxa"/>
              <w:right w:w="80" w:type="dxa"/>
            </w:tcMar>
            <w:vAlign w:val="center"/>
          </w:tcPr>
          <w:p w14:paraId="54B76229" w14:textId="77777777" w:rsidR="00184EB0" w:rsidRPr="00BA4F7F" w:rsidRDefault="00184EB0" w:rsidP="00792352">
            <w:pPr>
              <w:jc w:val="center"/>
            </w:pPr>
            <w:r w:rsidRPr="00BA4F7F">
              <w:rPr>
                <w:b/>
                <w:color w:val="FFFFFF"/>
                <w:sz w:val="16"/>
              </w:rPr>
              <w:t>Znaczenie w modelu</w:t>
            </w:r>
          </w:p>
        </w:tc>
      </w:tr>
      <w:tr w:rsidR="00184EB0" w:rsidRPr="00BA4F7F" w14:paraId="21CC5825" w14:textId="77777777" w:rsidTr="00184EB0">
        <w:trPr>
          <w:cantSplit/>
          <w:jc w:val="center"/>
        </w:trPr>
        <w:tc>
          <w:tcPr>
            <w:tcW w:w="2880" w:type="dxa"/>
            <w:tcMar>
              <w:top w:w="60" w:type="dxa"/>
              <w:left w:w="70" w:type="dxa"/>
              <w:bottom w:w="60" w:type="dxa"/>
              <w:right w:w="70" w:type="dxa"/>
            </w:tcMar>
            <w:vAlign w:val="center"/>
          </w:tcPr>
          <w:p w14:paraId="4B71CF6E" w14:textId="77777777" w:rsidR="00184EB0" w:rsidRPr="00BA4F7F" w:rsidRDefault="00184EB0" w:rsidP="00792352">
            <w:pPr>
              <w:jc w:val="left"/>
            </w:pPr>
            <w:r w:rsidRPr="00BA4F7F">
              <w:rPr>
                <w:b/>
                <w:sz w:val="15"/>
              </w:rPr>
              <w:t>AROPE – Polska</w:t>
            </w:r>
          </w:p>
        </w:tc>
        <w:tc>
          <w:tcPr>
            <w:tcW w:w="1872" w:type="dxa"/>
            <w:tcMar>
              <w:top w:w="60" w:type="dxa"/>
              <w:left w:w="70" w:type="dxa"/>
              <w:bottom w:w="60" w:type="dxa"/>
              <w:right w:w="70" w:type="dxa"/>
            </w:tcMar>
            <w:vAlign w:val="center"/>
          </w:tcPr>
          <w:p w14:paraId="682F87E6" w14:textId="77777777" w:rsidR="00184EB0" w:rsidRPr="00BA4F7F" w:rsidRDefault="00184EB0" w:rsidP="00792352">
            <w:pPr>
              <w:jc w:val="center"/>
            </w:pPr>
            <w:r w:rsidRPr="00BA4F7F">
              <w:rPr>
                <w:sz w:val="15"/>
              </w:rPr>
              <w:t>15,0%</w:t>
            </w:r>
          </w:p>
        </w:tc>
        <w:tc>
          <w:tcPr>
            <w:tcW w:w="4608" w:type="dxa"/>
            <w:tcMar>
              <w:top w:w="60" w:type="dxa"/>
              <w:left w:w="70" w:type="dxa"/>
              <w:bottom w:w="60" w:type="dxa"/>
              <w:right w:w="70" w:type="dxa"/>
            </w:tcMar>
            <w:vAlign w:val="center"/>
          </w:tcPr>
          <w:p w14:paraId="027D73B3" w14:textId="77777777" w:rsidR="00184EB0" w:rsidRPr="00BA4F7F" w:rsidRDefault="00184EB0" w:rsidP="00792352">
            <w:pPr>
              <w:jc w:val="center"/>
            </w:pPr>
            <w:r w:rsidRPr="00BA4F7F">
              <w:rPr>
                <w:sz w:val="15"/>
              </w:rPr>
              <w:t>Relatywnie korzystny wynik względem UE27; wzmacnia bezpieczeństwo materialne.</w:t>
            </w:r>
          </w:p>
        </w:tc>
      </w:tr>
      <w:tr w:rsidR="00184EB0" w:rsidRPr="00BA4F7F" w14:paraId="5F96EED8" w14:textId="77777777" w:rsidTr="00184EB0">
        <w:trPr>
          <w:cantSplit/>
          <w:jc w:val="center"/>
        </w:trPr>
        <w:tc>
          <w:tcPr>
            <w:tcW w:w="2880" w:type="dxa"/>
            <w:shd w:val="clear" w:color="auto" w:fill="F7F7F7"/>
            <w:tcMar>
              <w:top w:w="60" w:type="dxa"/>
              <w:left w:w="70" w:type="dxa"/>
              <w:bottom w:w="60" w:type="dxa"/>
              <w:right w:w="70" w:type="dxa"/>
            </w:tcMar>
            <w:vAlign w:val="center"/>
          </w:tcPr>
          <w:p w14:paraId="375E4D2D" w14:textId="77777777" w:rsidR="00184EB0" w:rsidRPr="00BA4F7F" w:rsidRDefault="00184EB0" w:rsidP="00792352">
            <w:pPr>
              <w:jc w:val="left"/>
            </w:pPr>
            <w:r w:rsidRPr="00BA4F7F">
              <w:rPr>
                <w:b/>
                <w:sz w:val="15"/>
              </w:rPr>
              <w:t>Dochód do dyspozycji</w:t>
            </w:r>
          </w:p>
        </w:tc>
        <w:tc>
          <w:tcPr>
            <w:tcW w:w="1872" w:type="dxa"/>
            <w:shd w:val="clear" w:color="auto" w:fill="F7F7F7"/>
            <w:tcMar>
              <w:top w:w="60" w:type="dxa"/>
              <w:left w:w="70" w:type="dxa"/>
              <w:bottom w:w="60" w:type="dxa"/>
              <w:right w:w="70" w:type="dxa"/>
            </w:tcMar>
            <w:vAlign w:val="center"/>
          </w:tcPr>
          <w:p w14:paraId="37C377A3" w14:textId="77777777" w:rsidR="00184EB0" w:rsidRPr="00BA4F7F" w:rsidRDefault="00184EB0" w:rsidP="00792352">
            <w:pPr>
              <w:jc w:val="center"/>
            </w:pPr>
            <w:r w:rsidRPr="00BA4F7F">
              <w:rPr>
                <w:sz w:val="15"/>
              </w:rPr>
              <w:t>21 578 PPS</w:t>
            </w:r>
          </w:p>
        </w:tc>
        <w:tc>
          <w:tcPr>
            <w:tcW w:w="4608" w:type="dxa"/>
            <w:shd w:val="clear" w:color="auto" w:fill="F7F7F7"/>
            <w:tcMar>
              <w:top w:w="60" w:type="dxa"/>
              <w:left w:w="70" w:type="dxa"/>
              <w:bottom w:w="60" w:type="dxa"/>
              <w:right w:w="70" w:type="dxa"/>
            </w:tcMar>
            <w:vAlign w:val="center"/>
          </w:tcPr>
          <w:p w14:paraId="60D17C35" w14:textId="77777777" w:rsidR="00184EB0" w:rsidRPr="00BA4F7F" w:rsidRDefault="00184EB0" w:rsidP="00792352">
            <w:pPr>
              <w:jc w:val="center"/>
            </w:pPr>
            <w:r w:rsidRPr="00BA4F7F">
              <w:rPr>
                <w:sz w:val="15"/>
              </w:rPr>
              <w:t>Postępująca konwergencja siły nabywczej, nadal bez osiągnięcia średniej UE27.</w:t>
            </w:r>
          </w:p>
        </w:tc>
      </w:tr>
      <w:tr w:rsidR="00184EB0" w:rsidRPr="00BA4F7F" w14:paraId="3F2F4143" w14:textId="77777777" w:rsidTr="00184EB0">
        <w:trPr>
          <w:cantSplit/>
          <w:jc w:val="center"/>
        </w:trPr>
        <w:tc>
          <w:tcPr>
            <w:tcW w:w="2880" w:type="dxa"/>
            <w:tcMar>
              <w:top w:w="60" w:type="dxa"/>
              <w:left w:w="70" w:type="dxa"/>
              <w:bottom w:w="60" w:type="dxa"/>
              <w:right w:w="70" w:type="dxa"/>
            </w:tcMar>
            <w:vAlign w:val="center"/>
          </w:tcPr>
          <w:p w14:paraId="3C55BC65" w14:textId="77777777" w:rsidR="00184EB0" w:rsidRPr="00BA4F7F" w:rsidRDefault="00184EB0" w:rsidP="00792352">
            <w:pPr>
              <w:jc w:val="left"/>
            </w:pPr>
            <w:r w:rsidRPr="00BA4F7F">
              <w:rPr>
                <w:b/>
                <w:sz w:val="15"/>
              </w:rPr>
              <w:t>Przeludnienie mieszkań</w:t>
            </w:r>
          </w:p>
        </w:tc>
        <w:tc>
          <w:tcPr>
            <w:tcW w:w="1872" w:type="dxa"/>
            <w:tcMar>
              <w:top w:w="60" w:type="dxa"/>
              <w:left w:w="70" w:type="dxa"/>
              <w:bottom w:w="60" w:type="dxa"/>
              <w:right w:w="70" w:type="dxa"/>
            </w:tcMar>
            <w:vAlign w:val="center"/>
          </w:tcPr>
          <w:p w14:paraId="4029460F" w14:textId="77777777" w:rsidR="00184EB0" w:rsidRPr="00BA4F7F" w:rsidRDefault="00184EB0" w:rsidP="00792352">
            <w:pPr>
              <w:jc w:val="center"/>
            </w:pPr>
            <w:r w:rsidRPr="00BA4F7F">
              <w:rPr>
                <w:sz w:val="15"/>
              </w:rPr>
              <w:t>30,9%</w:t>
            </w:r>
          </w:p>
        </w:tc>
        <w:tc>
          <w:tcPr>
            <w:tcW w:w="4608" w:type="dxa"/>
            <w:tcMar>
              <w:top w:w="60" w:type="dxa"/>
              <w:left w:w="70" w:type="dxa"/>
              <w:bottom w:w="60" w:type="dxa"/>
              <w:right w:w="70" w:type="dxa"/>
            </w:tcMar>
            <w:vAlign w:val="center"/>
          </w:tcPr>
          <w:p w14:paraId="0A717F59" w14:textId="77777777" w:rsidR="00184EB0" w:rsidRPr="00BA4F7F" w:rsidRDefault="00184EB0" w:rsidP="00792352">
            <w:pPr>
              <w:jc w:val="center"/>
            </w:pPr>
            <w:r w:rsidRPr="00BA4F7F">
              <w:rPr>
                <w:sz w:val="15"/>
              </w:rPr>
              <w:t>Największa materialna luka; oddziałuje także na demografię i samodzielność młodych.</w:t>
            </w:r>
          </w:p>
        </w:tc>
      </w:tr>
      <w:tr w:rsidR="00184EB0" w:rsidRPr="00BA4F7F" w14:paraId="2BC4D86E" w14:textId="77777777" w:rsidTr="00184EB0">
        <w:trPr>
          <w:cantSplit/>
          <w:jc w:val="center"/>
        </w:trPr>
        <w:tc>
          <w:tcPr>
            <w:tcW w:w="2880" w:type="dxa"/>
            <w:shd w:val="clear" w:color="auto" w:fill="F7F7F7"/>
            <w:tcMar>
              <w:top w:w="60" w:type="dxa"/>
              <w:left w:w="70" w:type="dxa"/>
              <w:bottom w:w="60" w:type="dxa"/>
              <w:right w:w="70" w:type="dxa"/>
            </w:tcMar>
            <w:vAlign w:val="center"/>
          </w:tcPr>
          <w:p w14:paraId="12E78F91" w14:textId="77777777" w:rsidR="00184EB0" w:rsidRPr="00BA4F7F" w:rsidRDefault="00184EB0" w:rsidP="00792352">
            <w:pPr>
              <w:jc w:val="left"/>
            </w:pPr>
            <w:r w:rsidRPr="00BA4F7F">
              <w:rPr>
                <w:b/>
                <w:sz w:val="15"/>
              </w:rPr>
              <w:t xml:space="preserve">Współczynnik </w:t>
            </w:r>
            <w:proofErr w:type="spellStart"/>
            <w:r w:rsidRPr="00BA4F7F">
              <w:rPr>
                <w:b/>
                <w:sz w:val="15"/>
              </w:rPr>
              <w:t>Giniego</w:t>
            </w:r>
            <w:proofErr w:type="spellEnd"/>
          </w:p>
        </w:tc>
        <w:tc>
          <w:tcPr>
            <w:tcW w:w="1872" w:type="dxa"/>
            <w:shd w:val="clear" w:color="auto" w:fill="F7F7F7"/>
            <w:tcMar>
              <w:top w:w="60" w:type="dxa"/>
              <w:left w:w="70" w:type="dxa"/>
              <w:bottom w:w="60" w:type="dxa"/>
              <w:right w:w="70" w:type="dxa"/>
            </w:tcMar>
            <w:vAlign w:val="center"/>
          </w:tcPr>
          <w:p w14:paraId="587B7A8D" w14:textId="77777777" w:rsidR="00184EB0" w:rsidRPr="00BA4F7F" w:rsidRDefault="00184EB0" w:rsidP="00792352">
            <w:pPr>
              <w:jc w:val="center"/>
            </w:pPr>
            <w:r w:rsidRPr="00BA4F7F">
              <w:rPr>
                <w:sz w:val="15"/>
              </w:rPr>
              <w:t>24,9</w:t>
            </w:r>
          </w:p>
        </w:tc>
        <w:tc>
          <w:tcPr>
            <w:tcW w:w="4608" w:type="dxa"/>
            <w:shd w:val="clear" w:color="auto" w:fill="F7F7F7"/>
            <w:tcMar>
              <w:top w:w="60" w:type="dxa"/>
              <w:left w:w="70" w:type="dxa"/>
              <w:bottom w:w="60" w:type="dxa"/>
              <w:right w:w="70" w:type="dxa"/>
            </w:tcMar>
            <w:vAlign w:val="center"/>
          </w:tcPr>
          <w:p w14:paraId="14195B00" w14:textId="77777777" w:rsidR="00184EB0" w:rsidRPr="00BA4F7F" w:rsidRDefault="00184EB0" w:rsidP="00792352">
            <w:pPr>
              <w:jc w:val="center"/>
            </w:pPr>
            <w:r w:rsidRPr="00BA4F7F">
              <w:rPr>
                <w:sz w:val="15"/>
              </w:rPr>
              <w:t>Niskie nierówności dochodowe na tle UE27, ale wskaźnik nie mierzy poziomu zamożności.</w:t>
            </w:r>
          </w:p>
        </w:tc>
      </w:tr>
      <w:tr w:rsidR="00184EB0" w:rsidRPr="00BA4F7F" w14:paraId="188CA96B" w14:textId="77777777" w:rsidTr="00184EB0">
        <w:trPr>
          <w:cantSplit/>
          <w:jc w:val="center"/>
        </w:trPr>
        <w:tc>
          <w:tcPr>
            <w:tcW w:w="2880" w:type="dxa"/>
            <w:tcMar>
              <w:top w:w="60" w:type="dxa"/>
              <w:left w:w="70" w:type="dxa"/>
              <w:bottom w:w="60" w:type="dxa"/>
              <w:right w:w="70" w:type="dxa"/>
            </w:tcMar>
            <w:vAlign w:val="center"/>
          </w:tcPr>
          <w:p w14:paraId="39AFCE1A" w14:textId="77777777" w:rsidR="00184EB0" w:rsidRPr="00BA4F7F" w:rsidRDefault="00184EB0" w:rsidP="00792352">
            <w:pPr>
              <w:jc w:val="left"/>
            </w:pPr>
            <w:r w:rsidRPr="00BA4F7F">
              <w:rPr>
                <w:b/>
                <w:sz w:val="15"/>
              </w:rPr>
              <w:t>Zaufanie uogólnione</w:t>
            </w:r>
          </w:p>
        </w:tc>
        <w:tc>
          <w:tcPr>
            <w:tcW w:w="1872" w:type="dxa"/>
            <w:tcMar>
              <w:top w:w="60" w:type="dxa"/>
              <w:left w:w="70" w:type="dxa"/>
              <w:bottom w:w="60" w:type="dxa"/>
              <w:right w:w="70" w:type="dxa"/>
            </w:tcMar>
            <w:vAlign w:val="center"/>
          </w:tcPr>
          <w:p w14:paraId="288282A1" w14:textId="77777777" w:rsidR="00184EB0" w:rsidRPr="00BA4F7F" w:rsidRDefault="00184EB0" w:rsidP="00792352">
            <w:pPr>
              <w:jc w:val="center"/>
            </w:pPr>
            <w:r w:rsidRPr="00BA4F7F">
              <w:rPr>
                <w:sz w:val="15"/>
              </w:rPr>
              <w:t>24%</w:t>
            </w:r>
          </w:p>
        </w:tc>
        <w:tc>
          <w:tcPr>
            <w:tcW w:w="4608" w:type="dxa"/>
            <w:tcMar>
              <w:top w:w="60" w:type="dxa"/>
              <w:left w:w="70" w:type="dxa"/>
              <w:bottom w:w="60" w:type="dxa"/>
              <w:right w:w="70" w:type="dxa"/>
            </w:tcMar>
            <w:vAlign w:val="center"/>
          </w:tcPr>
          <w:p w14:paraId="31DA2365" w14:textId="77777777" w:rsidR="00184EB0" w:rsidRPr="00BA4F7F" w:rsidRDefault="00184EB0" w:rsidP="00792352">
            <w:pPr>
              <w:jc w:val="center"/>
            </w:pPr>
            <w:r w:rsidRPr="00BA4F7F">
              <w:rPr>
                <w:sz w:val="15"/>
              </w:rPr>
              <w:t>Niski zasób zaufania poziomego i wyższe koszty współpracy społecznej.</w:t>
            </w:r>
          </w:p>
        </w:tc>
      </w:tr>
      <w:tr w:rsidR="00184EB0" w:rsidRPr="00BA4F7F" w14:paraId="3D9D05FD" w14:textId="77777777" w:rsidTr="00184EB0">
        <w:trPr>
          <w:cantSplit/>
          <w:jc w:val="center"/>
        </w:trPr>
        <w:tc>
          <w:tcPr>
            <w:tcW w:w="2880" w:type="dxa"/>
            <w:shd w:val="clear" w:color="auto" w:fill="F7F7F7"/>
            <w:tcMar>
              <w:top w:w="60" w:type="dxa"/>
              <w:left w:w="70" w:type="dxa"/>
              <w:bottom w:w="60" w:type="dxa"/>
              <w:right w:w="70" w:type="dxa"/>
            </w:tcMar>
            <w:vAlign w:val="center"/>
          </w:tcPr>
          <w:p w14:paraId="674C2B89" w14:textId="77777777" w:rsidR="00184EB0" w:rsidRPr="00BA4F7F" w:rsidRDefault="00184EB0" w:rsidP="00792352">
            <w:pPr>
              <w:jc w:val="left"/>
            </w:pPr>
            <w:r w:rsidRPr="00BA4F7F">
              <w:rPr>
                <w:b/>
                <w:sz w:val="15"/>
              </w:rPr>
              <w:t>Poczucie wpływu lokalnego</w:t>
            </w:r>
          </w:p>
        </w:tc>
        <w:tc>
          <w:tcPr>
            <w:tcW w:w="1872" w:type="dxa"/>
            <w:shd w:val="clear" w:color="auto" w:fill="F7F7F7"/>
            <w:tcMar>
              <w:top w:w="60" w:type="dxa"/>
              <w:left w:w="70" w:type="dxa"/>
              <w:bottom w:w="60" w:type="dxa"/>
              <w:right w:w="70" w:type="dxa"/>
            </w:tcMar>
            <w:vAlign w:val="center"/>
          </w:tcPr>
          <w:p w14:paraId="702F136A" w14:textId="77777777" w:rsidR="00184EB0" w:rsidRPr="00BA4F7F" w:rsidRDefault="00184EB0" w:rsidP="00792352">
            <w:pPr>
              <w:jc w:val="center"/>
            </w:pPr>
            <w:r w:rsidRPr="00BA4F7F">
              <w:rPr>
                <w:sz w:val="15"/>
              </w:rPr>
              <w:t>59%</w:t>
            </w:r>
          </w:p>
        </w:tc>
        <w:tc>
          <w:tcPr>
            <w:tcW w:w="4608" w:type="dxa"/>
            <w:shd w:val="clear" w:color="auto" w:fill="F7F7F7"/>
            <w:tcMar>
              <w:top w:w="60" w:type="dxa"/>
              <w:left w:w="70" w:type="dxa"/>
              <w:bottom w:w="60" w:type="dxa"/>
              <w:right w:w="70" w:type="dxa"/>
            </w:tcMar>
            <w:vAlign w:val="center"/>
          </w:tcPr>
          <w:p w14:paraId="5908B1E2" w14:textId="77777777" w:rsidR="00184EB0" w:rsidRPr="00BA4F7F" w:rsidRDefault="00184EB0" w:rsidP="00792352">
            <w:pPr>
              <w:jc w:val="center"/>
            </w:pPr>
            <w:r w:rsidRPr="00BA4F7F">
              <w:rPr>
                <w:sz w:val="15"/>
              </w:rPr>
              <w:t xml:space="preserve">Umiarkowana deklarowana sprawczość; wymaga potwierdzenia </w:t>
            </w:r>
            <w:proofErr w:type="spellStart"/>
            <w:r w:rsidRPr="00BA4F7F">
              <w:rPr>
                <w:sz w:val="15"/>
              </w:rPr>
              <w:t>zachowaniami</w:t>
            </w:r>
            <w:proofErr w:type="spellEnd"/>
            <w:r w:rsidRPr="00BA4F7F">
              <w:rPr>
                <w:sz w:val="15"/>
              </w:rPr>
              <w:t xml:space="preserve"> obywatelskimi.</w:t>
            </w:r>
          </w:p>
        </w:tc>
      </w:tr>
      <w:tr w:rsidR="00184EB0" w:rsidRPr="00BA4F7F" w14:paraId="25EE159F" w14:textId="77777777" w:rsidTr="00184EB0">
        <w:trPr>
          <w:cantSplit/>
          <w:jc w:val="center"/>
        </w:trPr>
        <w:tc>
          <w:tcPr>
            <w:tcW w:w="2880" w:type="dxa"/>
            <w:vAlign w:val="center"/>
          </w:tcPr>
          <w:p w14:paraId="4BFBA169" w14:textId="77777777" w:rsidR="00184EB0" w:rsidRPr="00BA4F7F" w:rsidRDefault="00184EB0" w:rsidP="00184EB0">
            <w:pPr>
              <w:jc w:val="left"/>
              <w:rPr>
                <w:b/>
                <w:sz w:val="15"/>
                <w:szCs w:val="15"/>
              </w:rPr>
            </w:pPr>
            <w:r w:rsidRPr="00BA4F7F">
              <w:rPr>
                <w:b/>
                <w:sz w:val="15"/>
                <w:szCs w:val="15"/>
              </w:rPr>
              <w:t>Cudzoziemcy podejrzani</w:t>
            </w:r>
          </w:p>
        </w:tc>
        <w:tc>
          <w:tcPr>
            <w:tcW w:w="1872" w:type="dxa"/>
            <w:vAlign w:val="center"/>
          </w:tcPr>
          <w:p w14:paraId="0F6C2592" w14:textId="77777777" w:rsidR="00184EB0" w:rsidRPr="00BA4F7F" w:rsidRDefault="00184EB0" w:rsidP="00792352">
            <w:pPr>
              <w:jc w:val="center"/>
            </w:pPr>
            <w:r w:rsidRPr="00BA4F7F">
              <w:rPr>
                <w:sz w:val="16"/>
                <w:szCs w:val="18"/>
              </w:rPr>
              <w:t>17 504 osoby</w:t>
            </w:r>
          </w:p>
        </w:tc>
        <w:tc>
          <w:tcPr>
            <w:tcW w:w="4608" w:type="dxa"/>
            <w:vAlign w:val="center"/>
          </w:tcPr>
          <w:p w14:paraId="42E9FF25" w14:textId="77777777" w:rsidR="00184EB0" w:rsidRPr="00BA4F7F" w:rsidRDefault="00184EB0" w:rsidP="00792352">
            <w:pPr>
              <w:jc w:val="center"/>
            </w:pPr>
            <w:r w:rsidRPr="00BA4F7F">
              <w:rPr>
                <w:sz w:val="16"/>
                <w:szCs w:val="18"/>
              </w:rPr>
              <w:t>Bezwzględne obciążenie instytucji; nie jest miarą indywidualnej skłonności do przestępczości.</w:t>
            </w:r>
          </w:p>
        </w:tc>
      </w:tr>
    </w:tbl>
    <w:p w14:paraId="39C02CCF" w14:textId="77777777" w:rsidR="00843C23" w:rsidRPr="00BA4F7F" w:rsidRDefault="00843C23">
      <w:pPr>
        <w:spacing w:after="20" w:line="259" w:lineRule="auto"/>
      </w:pPr>
    </w:p>
    <w:tbl>
      <w:tblPr>
        <w:tblW w:w="0" w:type="auto"/>
        <w:jc w:val="center"/>
        <w:tblLayout w:type="fixed"/>
        <w:tblLook w:val="04A0" w:firstRow="1" w:lastRow="0" w:firstColumn="1" w:lastColumn="0" w:noHBand="0" w:noVBand="1"/>
      </w:tblPr>
      <w:tblGrid>
        <w:gridCol w:w="9432"/>
      </w:tblGrid>
      <w:tr w:rsidR="00843C23" w:rsidRPr="00BA4F7F" w14:paraId="65D3C929" w14:textId="77777777">
        <w:trPr>
          <w:cantSplit/>
          <w:jc w:val="center"/>
        </w:trPr>
        <w:tc>
          <w:tcPr>
            <w:tcW w:w="9432" w:type="dxa"/>
            <w:tcBorders>
              <w:top w:val="single" w:sz="8" w:space="0" w:color="1F4E79"/>
              <w:left w:val="single" w:sz="8" w:space="0" w:color="1F4E79"/>
              <w:bottom w:val="single" w:sz="8" w:space="0" w:color="1F4E79"/>
              <w:right w:val="single" w:sz="8" w:space="0" w:color="1F4E79"/>
            </w:tcBorders>
            <w:shd w:val="clear" w:color="auto" w:fill="D9EAF7"/>
            <w:tcMar>
              <w:top w:w="130" w:type="dxa"/>
              <w:left w:w="160" w:type="dxa"/>
              <w:bottom w:w="130" w:type="dxa"/>
              <w:right w:w="160" w:type="dxa"/>
            </w:tcMar>
            <w:vAlign w:val="center"/>
          </w:tcPr>
          <w:p w14:paraId="1C83D5F2" w14:textId="77777777" w:rsidR="00843C23" w:rsidRPr="00BA4F7F" w:rsidRDefault="00184EB0">
            <w:pPr>
              <w:spacing w:after="60"/>
            </w:pPr>
            <w:r w:rsidRPr="00BA4F7F">
              <w:rPr>
                <w:b/>
                <w:color w:val="1F4E79"/>
                <w:sz w:val="21"/>
              </w:rPr>
              <w:t>Mobilizacja a konsekwencja</w:t>
            </w:r>
          </w:p>
          <w:p w14:paraId="08B3691A" w14:textId="77777777" w:rsidR="00843C23" w:rsidRPr="00BA4F7F" w:rsidRDefault="00184EB0">
            <w:pPr>
              <w:spacing w:after="0"/>
            </w:pPr>
            <w:r w:rsidRPr="00BA4F7F">
              <w:t>Polskie społeczeństwo potrafi reagować wyjątkowo skutecznie na czytelne zagrożenie i bezpośrednią potrzebę. Trudniejszym zadaniem jest utrzymanie współpracy, odpowiedzialności i akceptacji wspólnych reguł po ustąpieniu fazy nadzwyczajnej. To właśnie ten drugi zasób decyduje o zdolności do prowadzenia wieloletnich reform.</w:t>
            </w:r>
          </w:p>
        </w:tc>
      </w:tr>
    </w:tbl>
    <w:p w14:paraId="08D90503" w14:textId="77777777" w:rsidR="00843C23" w:rsidRPr="00BA4F7F" w:rsidRDefault="00000000">
      <w:pPr>
        <w:pStyle w:val="ChapterKicker"/>
        <w:keepNext/>
        <w:keepLines/>
        <w:pageBreakBefore/>
        <w:rPr>
          <w:lang w:val="pl-PL"/>
        </w:rPr>
      </w:pPr>
      <w:r w:rsidRPr="00BA4F7F">
        <w:rPr>
          <w:lang w:val="pl-PL"/>
        </w:rPr>
        <w:lastRenderedPageBreak/>
        <w:t>CZĘŚĆ II</w:t>
      </w:r>
    </w:p>
    <w:p w14:paraId="08A1F2C6" w14:textId="77777777" w:rsidR="00843C23" w:rsidRPr="00BA4F7F" w:rsidRDefault="00000000">
      <w:pPr>
        <w:pStyle w:val="Nagwek1"/>
        <w:spacing w:before="0"/>
      </w:pPr>
      <w:bookmarkStart w:id="18" w:name="_Toc236400279"/>
      <w:bookmarkStart w:id="19" w:name="_Toc236400506"/>
      <w:r w:rsidRPr="00BA4F7F">
        <w:t>10. Filar II – Strategia i państwo</w:t>
      </w:r>
      <w:bookmarkEnd w:id="18"/>
      <w:bookmarkEnd w:id="19"/>
    </w:p>
    <w:tbl>
      <w:tblPr>
        <w:tblW w:w="0" w:type="auto"/>
        <w:tblLayout w:type="fixed"/>
        <w:tblLook w:val="04A0" w:firstRow="1" w:lastRow="0" w:firstColumn="1" w:lastColumn="0" w:noHBand="0" w:noVBand="1"/>
      </w:tblPr>
      <w:tblGrid>
        <w:gridCol w:w="1872"/>
        <w:gridCol w:w="7200"/>
      </w:tblGrid>
      <w:tr w:rsidR="00843C23" w:rsidRPr="00BA4F7F" w14:paraId="102F4C75" w14:textId="77777777">
        <w:trPr>
          <w:cantSplit/>
        </w:trPr>
        <w:tc>
          <w:tcPr>
            <w:tcW w:w="1872" w:type="dxa"/>
            <w:shd w:val="clear" w:color="auto" w:fill="1F4E79"/>
            <w:vAlign w:val="center"/>
          </w:tcPr>
          <w:p w14:paraId="47EB4FA0" w14:textId="77777777" w:rsidR="00843C23" w:rsidRPr="00BA4F7F" w:rsidRDefault="00000000">
            <w:pPr>
              <w:jc w:val="center"/>
            </w:pPr>
            <w:r>
              <w:rPr>
                <w:b/>
                <w:color w:val="FFFFFF"/>
                <w:sz w:val="48"/>
              </w:rPr>
              <w:t>54,3</w:t>
            </w:r>
          </w:p>
        </w:tc>
        <w:tc>
          <w:tcPr>
            <w:tcW w:w="7200" w:type="dxa"/>
            <w:shd w:val="clear" w:color="auto" w:fill="F3F6F9"/>
            <w:tcMar>
              <w:top w:w="70" w:type="dxa"/>
              <w:left w:w="90" w:type="dxa"/>
              <w:bottom w:w="70" w:type="dxa"/>
              <w:right w:w="90" w:type="dxa"/>
            </w:tcMar>
            <w:vAlign w:val="center"/>
          </w:tcPr>
          <w:p w14:paraId="295A81B9" w14:textId="77777777" w:rsidR="00537CA0" w:rsidRPr="00BA4F7F" w:rsidRDefault="00000000">
            <w:pPr>
              <w:spacing w:after="0" w:line="240" w:lineRule="auto"/>
              <w:jc w:val="left"/>
            </w:pPr>
            <w:r w:rsidRPr="00BA4F7F">
              <w:rPr>
                <w:color w:val="222222"/>
                <w:sz w:val="18"/>
              </w:rPr>
              <w:t>słaba lub niepełna odporność</w:t>
            </w:r>
            <w:r w:rsidRPr="00BA4F7F">
              <w:rPr>
                <w:color w:val="222222"/>
                <w:sz w:val="18"/>
              </w:rPr>
              <w:br/>
              <w:t>Ocena w skali 0–100 pkt.</w:t>
            </w:r>
          </w:p>
        </w:tc>
      </w:tr>
    </w:tbl>
    <w:p w14:paraId="0194EB77" w14:textId="77777777" w:rsidR="00843C23" w:rsidRPr="00BA4F7F" w:rsidRDefault="00000000">
      <w:pPr>
        <w:pStyle w:val="Lead"/>
        <w:keepNext/>
        <w:rPr>
          <w:lang w:val="pl-PL"/>
        </w:rPr>
      </w:pPr>
      <w:r w:rsidRPr="00BA4F7F">
        <w:rPr>
          <w:lang w:val="pl-PL"/>
        </w:rPr>
        <w:t>Portfel strategicznych zdolności pozostaje mocny, lecz otoczenie instytucjonalne coraz słabiej gwarantuje ciągłość, legalność i przewidywalne wykonanie.</w:t>
      </w:r>
    </w:p>
    <w:tbl>
      <w:tblPr>
        <w:tblStyle w:val="Tabela-Siatka"/>
        <w:tblW w:w="0" w:type="auto"/>
        <w:jc w:val="center"/>
        <w:tblLayout w:type="fixed"/>
        <w:tblLook w:val="04A0" w:firstRow="1" w:lastRow="0" w:firstColumn="1" w:lastColumn="0" w:noHBand="0" w:noVBand="1"/>
      </w:tblPr>
      <w:tblGrid>
        <w:gridCol w:w="3312"/>
        <w:gridCol w:w="1152"/>
        <w:gridCol w:w="1152"/>
        <w:gridCol w:w="1296"/>
        <w:gridCol w:w="3024"/>
      </w:tblGrid>
      <w:tr w:rsidR="00843C23" w:rsidRPr="00BA4F7F" w14:paraId="79609F3C" w14:textId="77777777">
        <w:trPr>
          <w:cantSplit/>
          <w:tblHeader/>
          <w:jc w:val="center"/>
        </w:trPr>
        <w:tc>
          <w:tcPr>
            <w:tcW w:w="3312" w:type="dxa"/>
            <w:shd w:val="clear" w:color="auto" w:fill="1F4E79"/>
            <w:tcMar>
              <w:top w:w="70" w:type="dxa"/>
              <w:left w:w="80" w:type="dxa"/>
              <w:bottom w:w="70" w:type="dxa"/>
              <w:right w:w="80" w:type="dxa"/>
            </w:tcMar>
            <w:vAlign w:val="center"/>
          </w:tcPr>
          <w:p w14:paraId="4919E83B" w14:textId="77777777" w:rsidR="00843C23" w:rsidRPr="00BA4F7F" w:rsidRDefault="00000000">
            <w:pPr>
              <w:jc w:val="center"/>
            </w:pPr>
            <w:proofErr w:type="spellStart"/>
            <w:r w:rsidRPr="00BA4F7F">
              <w:rPr>
                <w:b/>
                <w:color w:val="FFFFFF"/>
                <w:sz w:val="17"/>
              </w:rPr>
              <w:t>Subindeks</w:t>
            </w:r>
            <w:proofErr w:type="spellEnd"/>
          </w:p>
        </w:tc>
        <w:tc>
          <w:tcPr>
            <w:tcW w:w="1152" w:type="dxa"/>
            <w:shd w:val="clear" w:color="auto" w:fill="1F4E79"/>
            <w:tcMar>
              <w:top w:w="70" w:type="dxa"/>
              <w:left w:w="80" w:type="dxa"/>
              <w:bottom w:w="70" w:type="dxa"/>
              <w:right w:w="80" w:type="dxa"/>
            </w:tcMar>
            <w:vAlign w:val="center"/>
          </w:tcPr>
          <w:p w14:paraId="01EEFB87" w14:textId="77777777" w:rsidR="00843C23" w:rsidRPr="00BA4F7F" w:rsidRDefault="00000000">
            <w:pPr>
              <w:jc w:val="center"/>
            </w:pPr>
            <w:r w:rsidRPr="00BA4F7F">
              <w:rPr>
                <w:b/>
                <w:color w:val="FFFFFF"/>
                <w:sz w:val="17"/>
              </w:rPr>
              <w:t>2020</w:t>
            </w:r>
          </w:p>
        </w:tc>
        <w:tc>
          <w:tcPr>
            <w:tcW w:w="1152" w:type="dxa"/>
            <w:shd w:val="clear" w:color="auto" w:fill="1F4E79"/>
            <w:tcMar>
              <w:top w:w="70" w:type="dxa"/>
              <w:left w:w="80" w:type="dxa"/>
              <w:bottom w:w="70" w:type="dxa"/>
              <w:right w:w="80" w:type="dxa"/>
            </w:tcMar>
            <w:vAlign w:val="center"/>
          </w:tcPr>
          <w:p w14:paraId="48340BB0" w14:textId="77777777" w:rsidR="00843C23" w:rsidRPr="00BA4F7F" w:rsidRDefault="00000000">
            <w:pPr>
              <w:jc w:val="center"/>
            </w:pPr>
            <w:r w:rsidRPr="00BA4F7F">
              <w:rPr>
                <w:b/>
                <w:color w:val="FFFFFF"/>
                <w:sz w:val="17"/>
              </w:rPr>
              <w:t>2025</w:t>
            </w:r>
          </w:p>
        </w:tc>
        <w:tc>
          <w:tcPr>
            <w:tcW w:w="1296" w:type="dxa"/>
            <w:shd w:val="clear" w:color="auto" w:fill="1F4E79"/>
            <w:tcMar>
              <w:top w:w="70" w:type="dxa"/>
              <w:left w:w="80" w:type="dxa"/>
              <w:bottom w:w="70" w:type="dxa"/>
              <w:right w:w="80" w:type="dxa"/>
            </w:tcMar>
            <w:vAlign w:val="center"/>
          </w:tcPr>
          <w:p w14:paraId="0FB127C6" w14:textId="77777777" w:rsidR="00843C23" w:rsidRPr="00BA4F7F" w:rsidRDefault="00000000">
            <w:pPr>
              <w:jc w:val="center"/>
            </w:pPr>
            <w:r w:rsidRPr="00BA4F7F">
              <w:rPr>
                <w:b/>
                <w:color w:val="FFFFFF"/>
                <w:sz w:val="17"/>
              </w:rPr>
              <w:t>Zmiana</w:t>
            </w:r>
          </w:p>
        </w:tc>
        <w:tc>
          <w:tcPr>
            <w:tcW w:w="3024" w:type="dxa"/>
            <w:shd w:val="clear" w:color="auto" w:fill="1F4E79"/>
            <w:tcMar>
              <w:top w:w="70" w:type="dxa"/>
              <w:left w:w="80" w:type="dxa"/>
              <w:bottom w:w="70" w:type="dxa"/>
              <w:right w:w="80" w:type="dxa"/>
            </w:tcMar>
            <w:vAlign w:val="center"/>
          </w:tcPr>
          <w:p w14:paraId="1A4F9054" w14:textId="77777777" w:rsidR="00843C23" w:rsidRPr="00BA4F7F" w:rsidRDefault="00000000">
            <w:pPr>
              <w:jc w:val="center"/>
            </w:pPr>
            <w:r w:rsidRPr="00BA4F7F">
              <w:rPr>
                <w:b/>
                <w:color w:val="FFFFFF"/>
                <w:sz w:val="17"/>
              </w:rPr>
              <w:t>Ocena 2025</w:t>
            </w:r>
          </w:p>
        </w:tc>
      </w:tr>
      <w:tr w:rsidR="00843C23" w:rsidRPr="00BA4F7F" w14:paraId="708FD0CA" w14:textId="77777777">
        <w:trPr>
          <w:cantSplit/>
          <w:jc w:val="center"/>
        </w:trPr>
        <w:tc>
          <w:tcPr>
            <w:tcW w:w="3312" w:type="dxa"/>
            <w:tcMar>
              <w:top w:w="60" w:type="dxa"/>
              <w:left w:w="70" w:type="dxa"/>
              <w:bottom w:w="60" w:type="dxa"/>
              <w:right w:w="70" w:type="dxa"/>
            </w:tcMar>
            <w:vAlign w:val="center"/>
          </w:tcPr>
          <w:p w14:paraId="0AC9ADE5" w14:textId="77777777" w:rsidR="002C59F5" w:rsidRDefault="00000000">
            <w:r>
              <w:t>Projekty strategiczne</w:t>
            </w:r>
          </w:p>
        </w:tc>
        <w:tc>
          <w:tcPr>
            <w:tcW w:w="1152" w:type="dxa"/>
            <w:tcMar>
              <w:top w:w="60" w:type="dxa"/>
              <w:left w:w="70" w:type="dxa"/>
              <w:bottom w:w="60" w:type="dxa"/>
              <w:right w:w="70" w:type="dxa"/>
            </w:tcMar>
            <w:vAlign w:val="center"/>
          </w:tcPr>
          <w:p w14:paraId="7620EFA6" w14:textId="77777777" w:rsidR="002C59F5" w:rsidRDefault="00000000">
            <w:r>
              <w:t>76,5</w:t>
            </w:r>
          </w:p>
        </w:tc>
        <w:tc>
          <w:tcPr>
            <w:tcW w:w="1152" w:type="dxa"/>
            <w:tcMar>
              <w:top w:w="60" w:type="dxa"/>
              <w:left w:w="70" w:type="dxa"/>
              <w:bottom w:w="60" w:type="dxa"/>
              <w:right w:w="70" w:type="dxa"/>
            </w:tcMar>
            <w:vAlign w:val="center"/>
          </w:tcPr>
          <w:p w14:paraId="68969BC1" w14:textId="77777777" w:rsidR="002C59F5" w:rsidRDefault="00000000">
            <w:r>
              <w:t>73,9</w:t>
            </w:r>
          </w:p>
        </w:tc>
        <w:tc>
          <w:tcPr>
            <w:tcW w:w="1296" w:type="dxa"/>
            <w:tcMar>
              <w:top w:w="60" w:type="dxa"/>
              <w:left w:w="70" w:type="dxa"/>
              <w:bottom w:w="60" w:type="dxa"/>
              <w:right w:w="70" w:type="dxa"/>
            </w:tcMar>
            <w:vAlign w:val="center"/>
          </w:tcPr>
          <w:p w14:paraId="74E21D0B" w14:textId="77777777" w:rsidR="002C59F5" w:rsidRDefault="00000000">
            <w:r>
              <w:t>−2,6</w:t>
            </w:r>
          </w:p>
        </w:tc>
        <w:tc>
          <w:tcPr>
            <w:tcW w:w="3024" w:type="dxa"/>
            <w:tcMar>
              <w:top w:w="60" w:type="dxa"/>
              <w:left w:w="70" w:type="dxa"/>
              <w:bottom w:w="60" w:type="dxa"/>
              <w:right w:w="70" w:type="dxa"/>
            </w:tcMar>
            <w:vAlign w:val="center"/>
          </w:tcPr>
          <w:p w14:paraId="21811859" w14:textId="77777777" w:rsidR="002C59F5" w:rsidRDefault="00000000">
            <w:r>
              <w:t>umiarkowanie dobra odporność</w:t>
            </w:r>
          </w:p>
        </w:tc>
      </w:tr>
      <w:tr w:rsidR="00843C23" w:rsidRPr="00BA4F7F" w14:paraId="5157F317" w14:textId="77777777">
        <w:trPr>
          <w:cantSplit/>
          <w:jc w:val="center"/>
        </w:trPr>
        <w:tc>
          <w:tcPr>
            <w:tcW w:w="3312" w:type="dxa"/>
            <w:shd w:val="clear" w:color="auto" w:fill="F7F7F7"/>
            <w:tcMar>
              <w:top w:w="60" w:type="dxa"/>
              <w:left w:w="70" w:type="dxa"/>
              <w:bottom w:w="60" w:type="dxa"/>
              <w:right w:w="70" w:type="dxa"/>
            </w:tcMar>
            <w:vAlign w:val="center"/>
          </w:tcPr>
          <w:p w14:paraId="5849DA01" w14:textId="77777777" w:rsidR="002C59F5" w:rsidRDefault="00000000">
            <w:r>
              <w:t>Ład instytucjonalny</w:t>
            </w:r>
          </w:p>
        </w:tc>
        <w:tc>
          <w:tcPr>
            <w:tcW w:w="1152" w:type="dxa"/>
            <w:shd w:val="clear" w:color="auto" w:fill="F7F7F7"/>
            <w:tcMar>
              <w:top w:w="60" w:type="dxa"/>
              <w:left w:w="70" w:type="dxa"/>
              <w:bottom w:w="60" w:type="dxa"/>
              <w:right w:w="70" w:type="dxa"/>
            </w:tcMar>
            <w:vAlign w:val="center"/>
          </w:tcPr>
          <w:p w14:paraId="243D45B0" w14:textId="77777777" w:rsidR="002C59F5" w:rsidRDefault="00000000">
            <w:r>
              <w:t>47,7</w:t>
            </w:r>
          </w:p>
        </w:tc>
        <w:tc>
          <w:tcPr>
            <w:tcW w:w="1152" w:type="dxa"/>
            <w:shd w:val="clear" w:color="auto" w:fill="F7F7F7"/>
            <w:tcMar>
              <w:top w:w="60" w:type="dxa"/>
              <w:left w:w="70" w:type="dxa"/>
              <w:bottom w:w="60" w:type="dxa"/>
              <w:right w:w="70" w:type="dxa"/>
            </w:tcMar>
            <w:vAlign w:val="center"/>
          </w:tcPr>
          <w:p w14:paraId="5DA724F0" w14:textId="77777777" w:rsidR="002C59F5" w:rsidRDefault="00000000">
            <w:r>
              <w:t>34,7</w:t>
            </w:r>
          </w:p>
        </w:tc>
        <w:tc>
          <w:tcPr>
            <w:tcW w:w="1296" w:type="dxa"/>
            <w:shd w:val="clear" w:color="auto" w:fill="F7F7F7"/>
            <w:tcMar>
              <w:top w:w="60" w:type="dxa"/>
              <w:left w:w="70" w:type="dxa"/>
              <w:bottom w:w="60" w:type="dxa"/>
              <w:right w:w="70" w:type="dxa"/>
            </w:tcMar>
            <w:vAlign w:val="center"/>
          </w:tcPr>
          <w:p w14:paraId="7040E746" w14:textId="77777777" w:rsidR="002C59F5" w:rsidRDefault="00000000">
            <w:r>
              <w:t>−13,0</w:t>
            </w:r>
          </w:p>
        </w:tc>
        <w:tc>
          <w:tcPr>
            <w:tcW w:w="3024" w:type="dxa"/>
            <w:shd w:val="clear" w:color="auto" w:fill="F7F7F7"/>
            <w:tcMar>
              <w:top w:w="60" w:type="dxa"/>
              <w:left w:w="70" w:type="dxa"/>
              <w:bottom w:w="60" w:type="dxa"/>
              <w:right w:w="70" w:type="dxa"/>
            </w:tcMar>
            <w:vAlign w:val="center"/>
          </w:tcPr>
          <w:p w14:paraId="04F54B57" w14:textId="77777777" w:rsidR="002C59F5" w:rsidRDefault="00000000">
            <w:r>
              <w:t>wysokie ryzyko strategiczne</w:t>
            </w:r>
          </w:p>
        </w:tc>
      </w:tr>
    </w:tbl>
    <w:p w14:paraId="361592D2" w14:textId="77777777" w:rsidR="00843C23" w:rsidRPr="00BA4F7F" w:rsidRDefault="00843C23">
      <w:pPr>
        <w:spacing w:after="20" w:line="259" w:lineRule="auto"/>
      </w:pPr>
    </w:p>
    <w:p w14:paraId="74AE577B" w14:textId="77777777" w:rsidR="00843C23" w:rsidRPr="00BA4F7F" w:rsidRDefault="00000000">
      <w:pPr>
        <w:spacing w:line="259" w:lineRule="auto"/>
      </w:pPr>
      <w:r>
        <w:t xml:space="preserve">Filar II mierzy relację między materialnym kierunkiem polityki a zdolnością instytucji do trwałego wykonania. W 2025 r. Projekty strategiczne osiągają 73,9 pkt, a Ład instytucjonalny 34,7 pkt. Trzy portfele projektowe – energetyka, transport i modernizacja obronna – znajdują się w klasie umiarkowanie dobrej albo wysokiej zdolności, przy czym Energetyka spada do 69,5 pkt; cyfryzacja osiąga 65,5 pkt. Wszystkie cztery </w:t>
      </w:r>
      <w:proofErr w:type="spellStart"/>
      <w:r>
        <w:t>subobszary</w:t>
      </w:r>
      <w:proofErr w:type="spellEnd"/>
      <w:r>
        <w:t xml:space="preserve"> instytucjonalne pozostają poniżej 45 pkt.</w:t>
      </w:r>
    </w:p>
    <w:p w14:paraId="5F5EF7AD" w14:textId="77777777" w:rsidR="00843C23" w:rsidRPr="00BA4F7F" w:rsidRDefault="00000000">
      <w:pPr>
        <w:spacing w:line="259" w:lineRule="auto"/>
      </w:pPr>
      <w:r w:rsidRPr="00BA4F7F">
        <w:t>Taki układ może generować sukcesy, jeżeli projekt jest wydzielony, finansowanie stabilne, właściciel jednoznaczny, a otoczenie bezpieczeństwa wymusza priorytet. Nie tworzy jednak pewności, że projekt zostanie utrzymany ponad zmianami politycznymi, że jego interfejsy zostaną domknięte, a regulacje i decyzje będą powszechnie uznawane.</w:t>
      </w:r>
    </w:p>
    <w:p w14:paraId="59509A90" w14:textId="77777777" w:rsidR="00843C23" w:rsidRPr="00BA4F7F" w:rsidRDefault="00000000">
      <w:pPr>
        <w:keepNext/>
        <w:keepLines/>
        <w:spacing w:before="80" w:after="60" w:line="259" w:lineRule="auto"/>
        <w:jc w:val="center"/>
      </w:pPr>
      <w:r w:rsidRPr="00BA4F7F">
        <w:rPr>
          <w:noProof/>
        </w:rPr>
        <w:drawing>
          <wp:inline distT="0" distB="0" distL="0" distR="0" wp14:anchorId="2482AAF4" wp14:editId="43E51939">
            <wp:extent cx="5897880" cy="3797313"/>
            <wp:effectExtent l="0" t="0" r="0" b="0"/>
            <wp:docPr id="16" name="Picture 16" descr="Wykres 13. Wyniki czterech portfeli Projektów strategicznych." title="Wykre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_projekty_sektory.png"/>
                    <pic:cNvPicPr/>
                  </pic:nvPicPr>
                  <pic:blipFill>
                    <a:blip r:embed="rId19"/>
                    <a:stretch>
                      <a:fillRect/>
                    </a:stretch>
                  </pic:blipFill>
                  <pic:spPr>
                    <a:xfrm>
                      <a:off x="0" y="0"/>
                      <a:ext cx="5897880" cy="3797313"/>
                    </a:xfrm>
                    <a:prstGeom prst="rect">
                      <a:avLst/>
                    </a:prstGeom>
                  </pic:spPr>
                </pic:pic>
              </a:graphicData>
            </a:graphic>
          </wp:inline>
        </w:drawing>
      </w:r>
    </w:p>
    <w:p w14:paraId="044663AD" w14:textId="77777777" w:rsidR="00843C23" w:rsidRPr="00BA4F7F" w:rsidRDefault="00000000">
      <w:pPr>
        <w:pStyle w:val="Legenda"/>
        <w:keepNext/>
        <w:keepLines/>
        <w:jc w:val="center"/>
      </w:pPr>
      <w:r w:rsidRPr="00BA4F7F">
        <w:t>Wykres 11. Wyniki czterech portfeli Projektów strategicznych.</w:t>
      </w:r>
    </w:p>
    <w:p w14:paraId="1B6AA3C4" w14:textId="77777777" w:rsidR="00843C23" w:rsidRPr="00BA4F7F" w:rsidRDefault="00000000">
      <w:pPr>
        <w:pStyle w:val="SourceNote"/>
        <w:keepLines/>
        <w:jc w:val="center"/>
        <w:rPr>
          <w:lang w:val="pl-PL"/>
        </w:rPr>
      </w:pPr>
      <w:r>
        <w:rPr>
          <w:lang w:val="pl-PL"/>
        </w:rPr>
        <w:t>Źródło: opracowanie własne na podstawie modelu głównego IRS – wersja 1.9, 31 lipca 2026.</w:t>
      </w:r>
    </w:p>
    <w:p w14:paraId="6519475B" w14:textId="77777777" w:rsidR="00843C23" w:rsidRPr="00BA4F7F" w:rsidRDefault="00000000">
      <w:pPr>
        <w:spacing w:line="259" w:lineRule="auto"/>
      </w:pPr>
      <w:r>
        <w:t xml:space="preserve">Wysoki wynik Filaru II z 2022 r. – 63,2 pkt – był częściowo efektem mobilizacji kryzysowej. Państwo potrafiło jednocześnie przyspieszyć programy obronne, obsługiwać masowy napływ uchodźców i reagować na kryzys energetyczny. W kolejnych latach wynik obniżył się do 59,7 pkt, następnie 53,7 pkt i 54,3 pkt. Brak trwałego przełożenia pokazuje, że zdolność nadzwyczajna nie została w pełni zinstytucjonalizowana, a wyniki Energetyki i Cyfryzacji ujawniają różnicę między skalą wdrożeń a jakością integracji, koordynacji, </w:t>
      </w:r>
      <w:proofErr w:type="spellStart"/>
      <w:r>
        <w:t>cyberodporności</w:t>
      </w:r>
      <w:proofErr w:type="spellEnd"/>
      <w:r>
        <w:t xml:space="preserve"> i zaplecza technologicznego.</w:t>
      </w:r>
    </w:p>
    <w:p w14:paraId="15D34DE5" w14:textId="77777777" w:rsidR="00843C23" w:rsidRPr="00BA4F7F" w:rsidRDefault="00000000">
      <w:pPr>
        <w:keepNext/>
        <w:keepLines/>
        <w:spacing w:before="80" w:after="60" w:line="259" w:lineRule="auto"/>
        <w:jc w:val="center"/>
      </w:pPr>
      <w:r w:rsidRPr="00BA4F7F">
        <w:rPr>
          <w:noProof/>
        </w:rPr>
        <w:lastRenderedPageBreak/>
        <w:drawing>
          <wp:inline distT="0" distB="0" distL="0" distR="0" wp14:anchorId="47057D98" wp14:editId="38AFFA8C">
            <wp:extent cx="5897880" cy="3756700"/>
            <wp:effectExtent l="0" t="0" r="0" b="0"/>
            <wp:docPr id="17" name="Picture 17" descr="Wykres 14. Wyniki czterech subobszarów Ładu instytucjonalnego." title="Wykre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_lad_subobszary.png"/>
                    <pic:cNvPicPr/>
                  </pic:nvPicPr>
                  <pic:blipFill>
                    <a:blip r:embed="rId20"/>
                    <a:stretch>
                      <a:fillRect/>
                    </a:stretch>
                  </pic:blipFill>
                  <pic:spPr>
                    <a:xfrm>
                      <a:off x="0" y="0"/>
                      <a:ext cx="5897880" cy="3756700"/>
                    </a:xfrm>
                    <a:prstGeom prst="rect">
                      <a:avLst/>
                    </a:prstGeom>
                  </pic:spPr>
                </pic:pic>
              </a:graphicData>
            </a:graphic>
          </wp:inline>
        </w:drawing>
      </w:r>
    </w:p>
    <w:p w14:paraId="666009E1" w14:textId="77777777" w:rsidR="00843C23" w:rsidRPr="00BA4F7F" w:rsidRDefault="00000000">
      <w:pPr>
        <w:pStyle w:val="Legenda"/>
        <w:keepNext/>
        <w:keepLines/>
        <w:jc w:val="center"/>
      </w:pPr>
      <w:r w:rsidRPr="00BA4F7F">
        <w:t xml:space="preserve">Wykres 12. Wyniki czterech </w:t>
      </w:r>
      <w:proofErr w:type="spellStart"/>
      <w:r w:rsidRPr="00BA4F7F">
        <w:t>subobszarów</w:t>
      </w:r>
      <w:proofErr w:type="spellEnd"/>
      <w:r w:rsidRPr="00BA4F7F">
        <w:t xml:space="preserve"> Ładu instytucjonalnego.</w:t>
      </w:r>
    </w:p>
    <w:p w14:paraId="0D67E5B7" w14:textId="77777777" w:rsidR="00843C23" w:rsidRPr="00BA4F7F" w:rsidRDefault="00000000">
      <w:pPr>
        <w:pStyle w:val="SourceNote"/>
        <w:keepLines/>
        <w:jc w:val="center"/>
        <w:rPr>
          <w:lang w:val="pl-PL"/>
        </w:rPr>
      </w:pPr>
      <w:r>
        <w:rPr>
          <w:lang w:val="pl-PL"/>
        </w:rPr>
        <w:t>Źródło: opracowanie własne na podstawie modelu głównego IRS – wersja 1.9, 31 lipca 2026.</w:t>
      </w:r>
    </w:p>
    <w:p w14:paraId="65E46350" w14:textId="77777777" w:rsidR="00843C23" w:rsidRPr="00BA4F7F" w:rsidRDefault="00000000">
      <w:pPr>
        <w:spacing w:line="259" w:lineRule="auto"/>
      </w:pPr>
      <w:r w:rsidRPr="00BA4F7F">
        <w:t xml:space="preserve">Z perspektywy racji stanu największym ryzykiem nie jest brak pomysłów. Jest nim utrata ciągłości między decyzją, ustawą, finansowaniem, wykonaniem i utrzymaniem efektu. Ta luka zwiększa koszt kapitału, opóźnia budowę zdolności i ogranicza </w:t>
      </w:r>
      <w:r w:rsidR="004C627B">
        <w:t>budowanie trwałych kompetencji.</w:t>
      </w:r>
    </w:p>
    <w:p w14:paraId="05C2D8FF" w14:textId="77777777" w:rsidR="00843C23" w:rsidRPr="00BA4F7F" w:rsidRDefault="00000000">
      <w:pPr>
        <w:pStyle w:val="ChapterKicker"/>
        <w:keepNext/>
        <w:keepLines/>
        <w:pageBreakBefore/>
        <w:rPr>
          <w:lang w:val="pl-PL"/>
        </w:rPr>
      </w:pPr>
      <w:r w:rsidRPr="00BA4F7F">
        <w:rPr>
          <w:lang w:val="pl-PL"/>
        </w:rPr>
        <w:lastRenderedPageBreak/>
        <w:t>SUBINDEKS 5</w:t>
      </w:r>
    </w:p>
    <w:p w14:paraId="1F0B5574" w14:textId="77777777" w:rsidR="00843C23" w:rsidRPr="00BA4F7F" w:rsidRDefault="00000000">
      <w:pPr>
        <w:pStyle w:val="Nagwek1"/>
        <w:spacing w:before="0"/>
      </w:pPr>
      <w:bookmarkStart w:id="20" w:name="_Toc236400280"/>
      <w:bookmarkStart w:id="21" w:name="_Toc236400507"/>
      <w:r w:rsidRPr="00BA4F7F">
        <w:t>11. Projekty strategiczne – trafna ambicja, słabsza wiarygodność wykonawcza</w:t>
      </w:r>
      <w:bookmarkEnd w:id="20"/>
      <w:bookmarkEnd w:id="21"/>
    </w:p>
    <w:tbl>
      <w:tblPr>
        <w:tblW w:w="0" w:type="auto"/>
        <w:tblLayout w:type="fixed"/>
        <w:tblLook w:val="04A0" w:firstRow="1" w:lastRow="0" w:firstColumn="1" w:lastColumn="0" w:noHBand="0" w:noVBand="1"/>
      </w:tblPr>
      <w:tblGrid>
        <w:gridCol w:w="1872"/>
        <w:gridCol w:w="7200"/>
      </w:tblGrid>
      <w:tr w:rsidR="00843C23" w:rsidRPr="00BA4F7F" w14:paraId="6292DBE6" w14:textId="77777777">
        <w:trPr>
          <w:cantSplit/>
        </w:trPr>
        <w:tc>
          <w:tcPr>
            <w:tcW w:w="1872" w:type="dxa"/>
            <w:shd w:val="clear" w:color="auto" w:fill="1F4E79"/>
            <w:vAlign w:val="center"/>
          </w:tcPr>
          <w:p w14:paraId="10D9FA11" w14:textId="77777777" w:rsidR="00843C23" w:rsidRPr="00BA4F7F" w:rsidRDefault="00000000">
            <w:pPr>
              <w:jc w:val="center"/>
            </w:pPr>
            <w:r>
              <w:rPr>
                <w:b/>
                <w:color w:val="FFFFFF"/>
                <w:sz w:val="48"/>
              </w:rPr>
              <w:t>73,9</w:t>
            </w:r>
          </w:p>
        </w:tc>
        <w:tc>
          <w:tcPr>
            <w:tcW w:w="7200" w:type="dxa"/>
            <w:shd w:val="clear" w:color="auto" w:fill="F3F6F9"/>
            <w:tcMar>
              <w:top w:w="70" w:type="dxa"/>
              <w:left w:w="90" w:type="dxa"/>
              <w:bottom w:w="70" w:type="dxa"/>
              <w:right w:w="90" w:type="dxa"/>
            </w:tcMar>
            <w:vAlign w:val="center"/>
          </w:tcPr>
          <w:p w14:paraId="155B1720" w14:textId="77777777" w:rsidR="00537CA0" w:rsidRPr="00BA4F7F" w:rsidRDefault="00000000">
            <w:pPr>
              <w:spacing w:after="0" w:line="240" w:lineRule="auto"/>
              <w:jc w:val="left"/>
            </w:pPr>
            <w:r w:rsidRPr="00BA4F7F">
              <w:rPr>
                <w:color w:val="222222"/>
                <w:sz w:val="18"/>
              </w:rPr>
              <w:t>umiarkowanie dobra odporność</w:t>
            </w:r>
            <w:r w:rsidRPr="00BA4F7F">
              <w:rPr>
                <w:color w:val="222222"/>
                <w:sz w:val="18"/>
              </w:rPr>
              <w:br/>
              <w:t>Ocena w skali 0–100 pkt.</w:t>
            </w:r>
          </w:p>
        </w:tc>
      </w:tr>
    </w:tbl>
    <w:p w14:paraId="370AE604" w14:textId="77777777" w:rsidR="00843C23" w:rsidRPr="00BA4F7F" w:rsidRDefault="00000000">
      <w:pPr>
        <w:pStyle w:val="Lead"/>
        <w:keepNext/>
        <w:rPr>
          <w:lang w:val="pl-PL"/>
        </w:rPr>
      </w:pPr>
      <w:r w:rsidRPr="00BA4F7F">
        <w:rPr>
          <w:lang w:val="pl-PL"/>
        </w:rPr>
        <w:t>Polska zasadniczo wybiera projekty ważne dla bezpieczeństwa i suwerenności. Główną słabością jest harmonogram, integracja i zarządzanie zmianą.</w:t>
      </w:r>
    </w:p>
    <w:p w14:paraId="3826EAAA" w14:textId="77777777" w:rsidR="00843C23" w:rsidRPr="00BA4F7F" w:rsidRDefault="00000000">
      <w:pPr>
        <w:keepNext/>
        <w:keepLines/>
        <w:spacing w:before="80" w:after="60" w:line="259" w:lineRule="auto"/>
        <w:jc w:val="center"/>
      </w:pPr>
      <w:r w:rsidRPr="00BA4F7F">
        <w:rPr>
          <w:noProof/>
        </w:rPr>
        <w:drawing>
          <wp:inline distT="0" distB="0" distL="0" distR="0" wp14:anchorId="522BADE4" wp14:editId="70BAE648">
            <wp:extent cx="5897880" cy="3662708"/>
            <wp:effectExtent l="0" t="0" r="0" b="0"/>
            <wp:docPr id="18" name="Picture 18" descr="Wykres 15. Średnie wyniki czterech kryteriów portfela Projektów strategicznych." title="Wykre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_kryteria_projekty.png"/>
                    <pic:cNvPicPr/>
                  </pic:nvPicPr>
                  <pic:blipFill>
                    <a:blip r:embed="rId21"/>
                    <a:stretch>
                      <a:fillRect/>
                    </a:stretch>
                  </pic:blipFill>
                  <pic:spPr>
                    <a:xfrm>
                      <a:off x="0" y="0"/>
                      <a:ext cx="5897880" cy="3662708"/>
                    </a:xfrm>
                    <a:prstGeom prst="rect">
                      <a:avLst/>
                    </a:prstGeom>
                  </pic:spPr>
                </pic:pic>
              </a:graphicData>
            </a:graphic>
          </wp:inline>
        </w:drawing>
      </w:r>
    </w:p>
    <w:p w14:paraId="480552F9" w14:textId="77777777" w:rsidR="00843C23" w:rsidRPr="00BA4F7F" w:rsidRDefault="00000000">
      <w:pPr>
        <w:pStyle w:val="Legenda"/>
        <w:keepNext/>
        <w:keepLines/>
        <w:jc w:val="center"/>
      </w:pPr>
      <w:r w:rsidRPr="00BA4F7F">
        <w:t>Wykres 13. Średnie wyniki czterech kryteriów portfela Projektów strategicznych.</w:t>
      </w:r>
    </w:p>
    <w:p w14:paraId="0F4D04C9" w14:textId="77777777" w:rsidR="00843C23" w:rsidRPr="00BA4F7F" w:rsidRDefault="00000000">
      <w:pPr>
        <w:pStyle w:val="SourceNote"/>
        <w:keepLines/>
        <w:jc w:val="center"/>
        <w:rPr>
          <w:lang w:val="pl-PL"/>
        </w:rPr>
      </w:pPr>
      <w:r>
        <w:rPr>
          <w:lang w:val="pl-PL"/>
        </w:rPr>
        <w:t>Źródło: opracowanie własne na podstawie modelu głównego IRS – wersja 1.9, 31 lipca 2026.</w:t>
      </w:r>
    </w:p>
    <w:p w14:paraId="18BD3CD5" w14:textId="77777777" w:rsidR="00843C23" w:rsidRPr="00BA4F7F" w:rsidRDefault="00000000">
      <w:pPr>
        <w:spacing w:line="259" w:lineRule="auto"/>
      </w:pPr>
      <w:r>
        <w:t>Projekty strategiczne osiągają 73,9 pkt, o 2,6 pkt mniej niż w 2020 r. Portfel wzrósł do 77,6 pkt w 2022 r. i 77,5 pkt w 2023 r., spadł do 73,0 pkt w 2024 r. i częściowo odbudował się w 2025 r. Nie oznacza to zaniku ambicji strategicznej. Część aktywów weszła w trudniejszą fazę integracji, finansowania i utrzymania, a wyniki Energetyki i Cyfryzacji coraz wyraźniej pokazują znaczenie kosztów systemowych, zaplecza technologicznego i odpowiedzialności za cały cykl życia zdolności.</w:t>
      </w:r>
    </w:p>
    <w:p w14:paraId="2ED3787E" w14:textId="77777777" w:rsidR="00843C23" w:rsidRPr="00BA4F7F" w:rsidRDefault="00000000">
      <w:pPr>
        <w:spacing w:line="259" w:lineRule="auto"/>
      </w:pPr>
      <w:r>
        <w:t xml:space="preserve">Kluczowa różnica przebiega między K1 – efektem strategicznym – a kryteriami wykonawczymi. Po uśrednieniu czterech równoważnych portfeli w 2025 r. K1 wynosi 86,0 pkt, harmonogram 66,5 pkt, zakres 74,3 pkt, a zarządzanie 68,0 pkt. Polska nadal trafnie rozpoznaje potrzeby związane z energią, logistyką, technologią i obronnością, lecz słabiej utrzymuje realistyczne terminy, kontrolę zmian, kompletność interfejsów i odpowiedzialność za pełną funkcję. Wysoki K1 nie może przesłaniać niższych ocen harmonogramu i zarządzania, zwłaszcza w Energetyce, gdzie trzeba równolegle oceniać koszt wsparcia, sieci, bilansowania, paliwa i utrzymania, oraz w Cyfryzacji, gdzie słabsze pozostają </w:t>
      </w:r>
      <w:proofErr w:type="spellStart"/>
      <w:r>
        <w:t>cyberbezpieczeństwo</w:t>
      </w:r>
      <w:proofErr w:type="spellEnd"/>
      <w:r>
        <w:t>, koordynacja regulacyjna i ekosystem innowacji.</w:t>
      </w:r>
    </w:p>
    <w:p w14:paraId="01C24DB2" w14:textId="77777777" w:rsidR="00843C23" w:rsidRPr="00BA4F7F" w:rsidRDefault="00000000">
      <w:pPr>
        <w:spacing w:line="259" w:lineRule="auto"/>
      </w:pPr>
      <w:r>
        <w:t xml:space="preserve">Energetyka osiąga 69,5 pkt. Najmocniejszymi pozycjami są rozbudowa terminalu LNG – 87,5 pkt – oraz </w:t>
      </w:r>
      <w:proofErr w:type="spellStart"/>
      <w:r>
        <w:t>Baltic</w:t>
      </w:r>
      <w:proofErr w:type="spellEnd"/>
      <w:r>
        <w:t xml:space="preserve"> </w:t>
      </w:r>
      <w:proofErr w:type="spellStart"/>
      <w:r>
        <w:t>Pipe</w:t>
      </w:r>
      <w:proofErr w:type="spellEnd"/>
      <w:r>
        <w:t xml:space="preserve"> i połączenia międzysystemowe – 86,3 pkt, które dostarczyły realną funkcję dywersyfikacyjną. Portfel obejmuje jednak nie tylko pojedyncze inwestycje spółek, lecz dziesięć równoważnie ważonych projektów i rodzin zdolności: dwie fazy </w:t>
      </w:r>
      <w:proofErr w:type="spellStart"/>
      <w:r>
        <w:t>offshore</w:t>
      </w:r>
      <w:proofErr w:type="spellEnd"/>
      <w:r>
        <w:t xml:space="preserve">, sieci i elastyczność KSE, szeroki portfel CCGT/OCGT, podziemne magazyny gazu oraz dostępność strategicznych zapasów ropy i paliw. Najniżej oceniana jest dostępność zapasów IKS Solino / PERN – 51,3 pkt – a następnie druga faza </w:t>
      </w:r>
      <w:proofErr w:type="spellStart"/>
      <w:r>
        <w:t>offshore</w:t>
      </w:r>
      <w:proofErr w:type="spellEnd"/>
      <w:r>
        <w:t xml:space="preserve"> – 58,8 pkt. Elektrownia jądrowa osiąga 62,5 pkt, głównie z powodu harmonogramu.</w:t>
      </w:r>
    </w:p>
    <w:p w14:paraId="162B69ED" w14:textId="77777777" w:rsidR="00843C23" w:rsidRPr="00BA4F7F" w:rsidRDefault="00000000">
      <w:pPr>
        <w:spacing w:line="259" w:lineRule="auto"/>
      </w:pPr>
      <w:r w:rsidRPr="00BA4F7F">
        <w:lastRenderedPageBreak/>
        <w:t xml:space="preserve">Transport i logistyka osiągają 72,4 pkt. S3 i </w:t>
      </w:r>
      <w:proofErr w:type="spellStart"/>
      <w:r w:rsidRPr="00BA4F7F">
        <w:t>Baltic</w:t>
      </w:r>
      <w:proofErr w:type="spellEnd"/>
      <w:r w:rsidRPr="00BA4F7F">
        <w:t xml:space="preserve"> Hub T3 pokazują premię za domknięcie pełnej funkcji. CPK / Port Polska odbudowuje wynik do 55,0 pkt po </w:t>
      </w:r>
      <w:proofErr w:type="spellStart"/>
      <w:r w:rsidRPr="00BA4F7F">
        <w:t>rebazowaniu</w:t>
      </w:r>
      <w:proofErr w:type="spellEnd"/>
      <w:r w:rsidRPr="00BA4F7F">
        <w:t xml:space="preserve">, ale nowy plan nie usuwa kosztu utraconego czasu. </w:t>
      </w:r>
      <w:proofErr w:type="spellStart"/>
      <w:r w:rsidRPr="00BA4F7F">
        <w:t>Rail</w:t>
      </w:r>
      <w:proofErr w:type="spellEnd"/>
      <w:r w:rsidRPr="00BA4F7F">
        <w:t xml:space="preserve"> </w:t>
      </w:r>
      <w:proofErr w:type="spellStart"/>
      <w:r w:rsidRPr="00BA4F7F">
        <w:t>Baltica</w:t>
      </w:r>
      <w:proofErr w:type="spellEnd"/>
      <w:r w:rsidRPr="00BA4F7F">
        <w:t xml:space="preserve">, A2, Via </w:t>
      </w:r>
      <w:proofErr w:type="spellStart"/>
      <w:r w:rsidRPr="00BA4F7F">
        <w:t>Carpatia</w:t>
      </w:r>
      <w:proofErr w:type="spellEnd"/>
      <w:r w:rsidRPr="00BA4F7F">
        <w:t xml:space="preserve"> i porty zewnętrzne zachowują silne uzasadnienie, lecz pełny efekt pozostaje odległy.</w:t>
      </w:r>
    </w:p>
    <w:p w14:paraId="1A8B6EC9" w14:textId="77777777" w:rsidR="00843C23" w:rsidRPr="00BA4F7F" w:rsidRDefault="00000000">
      <w:pPr>
        <w:spacing w:line="259" w:lineRule="auto"/>
      </w:pPr>
      <w:r w:rsidRPr="00BA4F7F">
        <w:t xml:space="preserve">Cyfryzacja osiąga 65,5 pkt: o 3,3 pkt więcej niż w 2024 r., lecz o 10,0 pkt mniej niż w 2020 r. Model obejmuje pięć równoważnych rodzin: usługi publiczne, usługi komercyjne, </w:t>
      </w:r>
      <w:proofErr w:type="spellStart"/>
      <w:r w:rsidRPr="00BA4F7F">
        <w:t>cyberbezpieczeństwo</w:t>
      </w:r>
      <w:proofErr w:type="spellEnd"/>
      <w:r w:rsidRPr="00BA4F7F">
        <w:t xml:space="preserve">, technologie przełomowe i ramy ekosystemu. Najwyżej wypadają usługi komercyjne – 86,3 pkt – wspierane przez dojrzałość finansów, e-commerce, logistyki i szybkie wykorzystanie AI. Usługi publiczne osiągają 67,5 pkt: </w:t>
      </w:r>
      <w:proofErr w:type="spellStart"/>
      <w:r w:rsidRPr="00BA4F7F">
        <w:t>mObywatel</w:t>
      </w:r>
      <w:proofErr w:type="spellEnd"/>
      <w:r w:rsidRPr="00BA4F7F">
        <w:t xml:space="preserve">, EZD RP i e-Doręczenia potwierdzają trwałość kanałów, ale opóźnienia </w:t>
      </w:r>
      <w:proofErr w:type="spellStart"/>
      <w:r w:rsidRPr="00BA4F7F">
        <w:t>KSeF</w:t>
      </w:r>
      <w:proofErr w:type="spellEnd"/>
      <w:r w:rsidRPr="00BA4F7F">
        <w:t>, ustawy o informatyzacji i koordynacji ograniczają ocenę.</w:t>
      </w:r>
    </w:p>
    <w:p w14:paraId="7225DCA6" w14:textId="77777777" w:rsidR="00537CA0" w:rsidRPr="00BA4F7F" w:rsidRDefault="00000000">
      <w:pPr>
        <w:spacing w:line="259" w:lineRule="auto"/>
      </w:pPr>
      <w:r w:rsidRPr="00BA4F7F">
        <w:t xml:space="preserve">Znacznie słabszy jest technologiczny i regulacyjny „tył systemu”. </w:t>
      </w:r>
      <w:proofErr w:type="spellStart"/>
      <w:r w:rsidRPr="00BA4F7F">
        <w:t>Cyberbezpieczeństwo</w:t>
      </w:r>
      <w:proofErr w:type="spellEnd"/>
      <w:r w:rsidRPr="00BA4F7F">
        <w:t xml:space="preserve"> uzyskuje 53,8 pkt. Oceny kryterialne wskazują na wielomiesięczne opóźnienia transpozycji NIS2 i CER, brak jednego centrum koordynacji bezpieczeństwa przestrzeni informacyjnej, niedobór kadr oraz zastój projektu łączności specjalnej. Technologie przełomowe osiągają 58,8 pkt: uruchomienie PIAST-AI w Poznaniu, wybór GAIA AI </w:t>
      </w:r>
      <w:proofErr w:type="spellStart"/>
      <w:r w:rsidRPr="00BA4F7F">
        <w:t>Factory</w:t>
      </w:r>
      <w:proofErr w:type="spellEnd"/>
      <w:r w:rsidRPr="00BA4F7F">
        <w:t xml:space="preserve"> w Krakowie, rozwój </w:t>
      </w:r>
      <w:proofErr w:type="spellStart"/>
      <w:r w:rsidRPr="00BA4F7F">
        <w:t>PLLuM</w:t>
      </w:r>
      <w:proofErr w:type="spellEnd"/>
      <w:r w:rsidRPr="00BA4F7F">
        <w:t xml:space="preserve"> i utworzenie Instytutu Badawczego IDEAS zwiększają aktywność, ale nie kompensują niepowodzeń ZUCH, niepewności wokół Krajowego Centrum Przetwarzania Danych, ograniczonych kompetencji administracji w zamawianiu usług chmurowych i fragmentarycznego wdrażania Data </w:t>
      </w:r>
      <w:proofErr w:type="spellStart"/>
      <w:r w:rsidRPr="00BA4F7F">
        <w:t>Act</w:t>
      </w:r>
      <w:proofErr w:type="spellEnd"/>
      <w:r w:rsidRPr="00BA4F7F">
        <w:t xml:space="preserve"> oraz AI </w:t>
      </w:r>
      <w:proofErr w:type="spellStart"/>
      <w:r w:rsidRPr="00BA4F7F">
        <w:t>Act</w:t>
      </w:r>
      <w:proofErr w:type="spellEnd"/>
      <w:r w:rsidRPr="00BA4F7F">
        <w:t>.</w:t>
      </w:r>
    </w:p>
    <w:p w14:paraId="318EBF05" w14:textId="77777777" w:rsidR="00537CA0" w:rsidRPr="00BA4F7F" w:rsidRDefault="00000000">
      <w:pPr>
        <w:spacing w:line="259" w:lineRule="auto"/>
      </w:pPr>
      <w:r w:rsidRPr="00BA4F7F">
        <w:t>Ramy ekosystemu cyfrowego uzyskują 61,3 pkt. Ich poprawę wspierają utworzenie Instytutu Badawczego IDEAS, inwestycje w infrastrukturę AI i wejście DORA w stosowanie w sektorze finansowym. Ocenę ograniczają opóźnienia regulacyjne, utrata części zaufania po zmianach organizacyjnych, wstrzymanie projektu Intela oraz brak spójnej architektury zarządzania zależnościami technologicznymi. Najważniejszy wniosek brzmi: Polska jest cyfrowo bardziej dojrzała jako rynek i dostawca usług niż jako jednolicie zarządzany system państwowy. Sukces interfejsu obywatel–państwo może współistnieć z niewystarczającą odpornością zaplecza, zależnością od dostawców i brakiem zdolności do utrzymania rozwiązań przez cały cykl życia.</w:t>
      </w:r>
    </w:p>
    <w:p w14:paraId="4C430040" w14:textId="77777777" w:rsidR="00843C23" w:rsidRPr="00BA4F7F" w:rsidRDefault="00000000">
      <w:pPr>
        <w:spacing w:line="259" w:lineRule="auto"/>
      </w:pPr>
      <w:r w:rsidRPr="00BA4F7F">
        <w:t xml:space="preserve">Modernizacja obronna i przemysł obronny osiąga 88,1 pkt. Wynik odzwierciedla szybkie decyzje i wysokie znaczenie programów. Największe ryzyka dotyczą </w:t>
      </w:r>
      <w:proofErr w:type="spellStart"/>
      <w:r w:rsidRPr="00BA4F7F">
        <w:t>wielotypowości</w:t>
      </w:r>
      <w:proofErr w:type="spellEnd"/>
      <w:r w:rsidRPr="00BA4F7F">
        <w:t>, logistyki, amunicji, szkolenia, serwisu, integracji dowodzenia, zależności zagranicznych i tempa budowy krajowej produkcji. Wysoka kontraktacja musi zostać zamieniona w zdolność operacyjną i przemysłową.</w:t>
      </w:r>
    </w:p>
    <w:p w14:paraId="416D847F" w14:textId="77777777" w:rsidR="00843C23" w:rsidRPr="00BA4F7F" w:rsidRDefault="00000000">
      <w:pPr>
        <w:spacing w:line="259" w:lineRule="auto"/>
      </w:pPr>
      <w:r w:rsidRPr="00BA4F7F">
        <w:t xml:space="preserve">Dojrzałe państwowe zarządzanie portfelem wymaga rozdzielenia trzech decyzji: które zdolności są naprawdę krytyczne, które programy mają najwyższy poziom gotowości wykonawczej oraz które aktywa będą możliwe do utrzymania przez kilkadziesiąt lat. Międzynarodowe standardy inwestycji publicznych podkreślają selekcję projektów, nadzór portfelowy, finansowanie utrzymania i kompletność budżetową. Ta sama zasada powinna obejmować programy obronne, energetyczne i transportowe, a w cyfryzacji dodatkowo architekturę danych, </w:t>
      </w:r>
      <w:proofErr w:type="spellStart"/>
      <w:r w:rsidRPr="00BA4F7F">
        <w:t>cyberbezpieczeństwo</w:t>
      </w:r>
      <w:proofErr w:type="spellEnd"/>
      <w:r w:rsidRPr="00BA4F7F">
        <w:t>, model chmurowy, interoperacyjność oraz koszty ciągłego rozwoju usług.</w:t>
      </w:r>
    </w:p>
    <w:p w14:paraId="2180CF89" w14:textId="77777777" w:rsidR="00843C23" w:rsidRPr="00BA4F7F" w:rsidRDefault="00000000">
      <w:pPr>
        <w:keepNext/>
        <w:keepLines/>
        <w:spacing w:before="80" w:after="60" w:line="259" w:lineRule="auto"/>
        <w:jc w:val="center"/>
      </w:pPr>
      <w:r w:rsidRPr="00BA4F7F">
        <w:rPr>
          <w:noProof/>
        </w:rPr>
        <w:lastRenderedPageBreak/>
        <w:drawing>
          <wp:inline distT="0" distB="0" distL="0" distR="0" wp14:anchorId="4D214BEC" wp14:editId="116A68A4">
            <wp:extent cx="5075834" cy="4760372"/>
            <wp:effectExtent l="0" t="0" r="0" b="0"/>
            <wp:docPr id="19" name="Picture 19" descr="Wykres 16. Wyniki projektów i programów strategicznych w 2025 r." title="Wykre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_portfel_projektow_2025.png"/>
                    <pic:cNvPicPr/>
                  </pic:nvPicPr>
                  <pic:blipFill>
                    <a:blip r:embed="rId22"/>
                    <a:stretch>
                      <a:fillRect/>
                    </a:stretch>
                  </pic:blipFill>
                  <pic:spPr>
                    <a:xfrm>
                      <a:off x="0" y="0"/>
                      <a:ext cx="5075834" cy="4760372"/>
                    </a:xfrm>
                    <a:prstGeom prst="rect">
                      <a:avLst/>
                    </a:prstGeom>
                  </pic:spPr>
                </pic:pic>
              </a:graphicData>
            </a:graphic>
          </wp:inline>
        </w:drawing>
      </w:r>
    </w:p>
    <w:p w14:paraId="65A6749D" w14:textId="77777777" w:rsidR="00843C23" w:rsidRPr="00BA4F7F" w:rsidRDefault="00000000">
      <w:pPr>
        <w:pStyle w:val="Legenda"/>
        <w:keepNext/>
        <w:keepLines/>
        <w:jc w:val="center"/>
      </w:pPr>
      <w:r w:rsidRPr="00BA4F7F">
        <w:t>Wykres 14. Wyniki projektów i programów strategicznych w 2025 r.</w:t>
      </w:r>
    </w:p>
    <w:p w14:paraId="3DD48D91" w14:textId="77777777" w:rsidR="00843C23" w:rsidRPr="00BA4F7F" w:rsidRDefault="00843C23">
      <w:pPr>
        <w:pStyle w:val="SourceNote"/>
        <w:keepLines/>
        <w:jc w:val="center"/>
        <w:rPr>
          <w:lang w:val="pl-PL"/>
        </w:rPr>
      </w:pPr>
    </w:p>
    <w:tbl>
      <w:tblPr>
        <w:tblStyle w:val="Tabela-Siatka"/>
        <w:tblW w:w="0" w:type="auto"/>
        <w:jc w:val="center"/>
        <w:tblLayout w:type="fixed"/>
        <w:tblLook w:val="04A0" w:firstRow="1" w:lastRow="0" w:firstColumn="1" w:lastColumn="0" w:noHBand="0" w:noVBand="1"/>
      </w:tblPr>
      <w:tblGrid>
        <w:gridCol w:w="2448"/>
        <w:gridCol w:w="1152"/>
        <w:gridCol w:w="2880"/>
        <w:gridCol w:w="2880"/>
      </w:tblGrid>
      <w:tr w:rsidR="00843C23" w:rsidRPr="00BA4F7F" w14:paraId="2B45C987" w14:textId="77777777">
        <w:trPr>
          <w:cantSplit/>
          <w:tblHeader/>
          <w:jc w:val="center"/>
        </w:trPr>
        <w:tc>
          <w:tcPr>
            <w:tcW w:w="2448" w:type="dxa"/>
            <w:shd w:val="clear" w:color="auto" w:fill="1F4E79"/>
            <w:tcMar>
              <w:top w:w="70" w:type="dxa"/>
              <w:left w:w="80" w:type="dxa"/>
              <w:bottom w:w="70" w:type="dxa"/>
              <w:right w:w="80" w:type="dxa"/>
            </w:tcMar>
            <w:vAlign w:val="center"/>
          </w:tcPr>
          <w:p w14:paraId="1E47C80C" w14:textId="77777777" w:rsidR="00843C23" w:rsidRPr="00BA4F7F" w:rsidRDefault="00000000">
            <w:pPr>
              <w:jc w:val="center"/>
            </w:pPr>
            <w:r w:rsidRPr="00BA4F7F">
              <w:rPr>
                <w:b/>
                <w:color w:val="FFFFFF"/>
                <w:sz w:val="16"/>
              </w:rPr>
              <w:t>Portfel</w:t>
            </w:r>
          </w:p>
        </w:tc>
        <w:tc>
          <w:tcPr>
            <w:tcW w:w="1152" w:type="dxa"/>
            <w:shd w:val="clear" w:color="auto" w:fill="1F4E79"/>
            <w:tcMar>
              <w:top w:w="70" w:type="dxa"/>
              <w:left w:w="80" w:type="dxa"/>
              <w:bottom w:w="70" w:type="dxa"/>
              <w:right w:w="80" w:type="dxa"/>
            </w:tcMar>
            <w:vAlign w:val="center"/>
          </w:tcPr>
          <w:p w14:paraId="42D23C11" w14:textId="77777777" w:rsidR="00843C23" w:rsidRPr="00BA4F7F" w:rsidRDefault="00000000">
            <w:pPr>
              <w:jc w:val="center"/>
            </w:pPr>
            <w:r w:rsidRPr="00BA4F7F">
              <w:rPr>
                <w:b/>
                <w:color w:val="FFFFFF"/>
                <w:sz w:val="16"/>
              </w:rPr>
              <w:t>Wynik 2025</w:t>
            </w:r>
          </w:p>
        </w:tc>
        <w:tc>
          <w:tcPr>
            <w:tcW w:w="2880" w:type="dxa"/>
            <w:shd w:val="clear" w:color="auto" w:fill="1F4E79"/>
            <w:tcMar>
              <w:top w:w="70" w:type="dxa"/>
              <w:left w:w="80" w:type="dxa"/>
              <w:bottom w:w="70" w:type="dxa"/>
              <w:right w:w="80" w:type="dxa"/>
            </w:tcMar>
            <w:vAlign w:val="center"/>
          </w:tcPr>
          <w:p w14:paraId="16572B80" w14:textId="77777777" w:rsidR="00843C23" w:rsidRPr="00BA4F7F" w:rsidRDefault="00000000">
            <w:pPr>
              <w:jc w:val="center"/>
            </w:pPr>
            <w:r w:rsidRPr="00BA4F7F">
              <w:rPr>
                <w:b/>
                <w:color w:val="FFFFFF"/>
                <w:sz w:val="16"/>
              </w:rPr>
              <w:t>Najmocniejsza funkcja</w:t>
            </w:r>
          </w:p>
        </w:tc>
        <w:tc>
          <w:tcPr>
            <w:tcW w:w="2880" w:type="dxa"/>
            <w:shd w:val="clear" w:color="auto" w:fill="1F4E79"/>
            <w:tcMar>
              <w:top w:w="70" w:type="dxa"/>
              <w:left w:w="80" w:type="dxa"/>
              <w:bottom w:w="70" w:type="dxa"/>
              <w:right w:w="80" w:type="dxa"/>
            </w:tcMar>
            <w:vAlign w:val="center"/>
          </w:tcPr>
          <w:p w14:paraId="292C8061" w14:textId="77777777" w:rsidR="00843C23" w:rsidRPr="00BA4F7F" w:rsidRDefault="00000000">
            <w:pPr>
              <w:jc w:val="center"/>
            </w:pPr>
            <w:r w:rsidRPr="00BA4F7F">
              <w:rPr>
                <w:b/>
                <w:color w:val="FFFFFF"/>
                <w:sz w:val="16"/>
              </w:rPr>
              <w:t>Główne ograniczenie</w:t>
            </w:r>
          </w:p>
        </w:tc>
      </w:tr>
      <w:tr w:rsidR="00843C23" w:rsidRPr="00BA4F7F" w14:paraId="3B32BF93" w14:textId="77777777">
        <w:trPr>
          <w:cantSplit/>
          <w:jc w:val="center"/>
        </w:trPr>
        <w:tc>
          <w:tcPr>
            <w:tcW w:w="2448" w:type="dxa"/>
            <w:tcMar>
              <w:top w:w="60" w:type="dxa"/>
              <w:left w:w="70" w:type="dxa"/>
              <w:bottom w:w="60" w:type="dxa"/>
              <w:right w:w="70" w:type="dxa"/>
            </w:tcMar>
            <w:vAlign w:val="center"/>
          </w:tcPr>
          <w:p w14:paraId="2F51140A" w14:textId="77777777" w:rsidR="00843C23" w:rsidRPr="00BA4F7F" w:rsidRDefault="00000000">
            <w:pPr>
              <w:jc w:val="left"/>
            </w:pPr>
            <w:r w:rsidRPr="00BA4F7F">
              <w:rPr>
                <w:b/>
                <w:sz w:val="15"/>
              </w:rPr>
              <w:t>Energetyka</w:t>
            </w:r>
          </w:p>
        </w:tc>
        <w:tc>
          <w:tcPr>
            <w:tcW w:w="1152" w:type="dxa"/>
            <w:tcMar>
              <w:top w:w="60" w:type="dxa"/>
              <w:left w:w="70" w:type="dxa"/>
              <w:bottom w:w="60" w:type="dxa"/>
              <w:right w:w="70" w:type="dxa"/>
            </w:tcMar>
            <w:vAlign w:val="center"/>
          </w:tcPr>
          <w:p w14:paraId="547A8EDC" w14:textId="77777777" w:rsidR="00963EAF" w:rsidRPr="00BA4F7F" w:rsidRDefault="00000000">
            <w:r>
              <w:t>69,5</w:t>
            </w:r>
          </w:p>
        </w:tc>
        <w:tc>
          <w:tcPr>
            <w:tcW w:w="2880" w:type="dxa"/>
            <w:tcMar>
              <w:top w:w="60" w:type="dxa"/>
              <w:left w:w="70" w:type="dxa"/>
              <w:bottom w:w="60" w:type="dxa"/>
              <w:right w:w="70" w:type="dxa"/>
            </w:tcMar>
            <w:vAlign w:val="center"/>
          </w:tcPr>
          <w:p w14:paraId="7CC775D8" w14:textId="77777777" w:rsidR="00843C23" w:rsidRPr="00BA4F7F" w:rsidRDefault="00000000">
            <w:pPr>
              <w:jc w:val="center"/>
            </w:pPr>
            <w:r>
              <w:rPr>
                <w:sz w:val="15"/>
              </w:rPr>
              <w:t>Dywersyfikacja gazowa, infrastruktura importowa i rosnący portfel mocy dyspozycyjnych.</w:t>
            </w:r>
          </w:p>
        </w:tc>
        <w:tc>
          <w:tcPr>
            <w:tcW w:w="2880" w:type="dxa"/>
            <w:tcMar>
              <w:top w:w="60" w:type="dxa"/>
              <w:left w:w="70" w:type="dxa"/>
              <w:bottom w:w="60" w:type="dxa"/>
              <w:right w:w="70" w:type="dxa"/>
            </w:tcMar>
            <w:vAlign w:val="center"/>
          </w:tcPr>
          <w:p w14:paraId="0B00DD34" w14:textId="77777777" w:rsidR="00843C23" w:rsidRPr="00BA4F7F" w:rsidRDefault="00000000">
            <w:pPr>
              <w:jc w:val="center"/>
            </w:pPr>
            <w:r>
              <w:rPr>
                <w:sz w:val="15"/>
              </w:rPr>
              <w:t xml:space="preserve">Harmonogram atomu, ekonomika II fazy </w:t>
            </w:r>
            <w:proofErr w:type="spellStart"/>
            <w:r>
              <w:rPr>
                <w:sz w:val="15"/>
              </w:rPr>
              <w:t>offshore</w:t>
            </w:r>
            <w:proofErr w:type="spellEnd"/>
            <w:r>
              <w:rPr>
                <w:sz w:val="15"/>
              </w:rPr>
              <w:t>, sieci, magazyny i dostępność zapasów.</w:t>
            </w:r>
          </w:p>
        </w:tc>
      </w:tr>
      <w:tr w:rsidR="00843C23" w:rsidRPr="00BA4F7F" w14:paraId="6C2060C2" w14:textId="77777777">
        <w:trPr>
          <w:cantSplit/>
          <w:jc w:val="center"/>
        </w:trPr>
        <w:tc>
          <w:tcPr>
            <w:tcW w:w="2448" w:type="dxa"/>
            <w:shd w:val="clear" w:color="auto" w:fill="F7F7F7"/>
            <w:tcMar>
              <w:top w:w="60" w:type="dxa"/>
              <w:left w:w="70" w:type="dxa"/>
              <w:bottom w:w="60" w:type="dxa"/>
              <w:right w:w="70" w:type="dxa"/>
            </w:tcMar>
            <w:vAlign w:val="center"/>
          </w:tcPr>
          <w:p w14:paraId="24EC4046" w14:textId="77777777" w:rsidR="00843C23" w:rsidRPr="00BA4F7F" w:rsidRDefault="00000000">
            <w:pPr>
              <w:jc w:val="left"/>
            </w:pPr>
            <w:r w:rsidRPr="00BA4F7F">
              <w:rPr>
                <w:b/>
                <w:sz w:val="15"/>
              </w:rPr>
              <w:t>Transport i logistyka</w:t>
            </w:r>
          </w:p>
        </w:tc>
        <w:tc>
          <w:tcPr>
            <w:tcW w:w="1152" w:type="dxa"/>
            <w:shd w:val="clear" w:color="auto" w:fill="F7F7F7"/>
            <w:tcMar>
              <w:top w:w="60" w:type="dxa"/>
              <w:left w:w="70" w:type="dxa"/>
              <w:bottom w:w="60" w:type="dxa"/>
              <w:right w:w="70" w:type="dxa"/>
            </w:tcMar>
            <w:vAlign w:val="center"/>
          </w:tcPr>
          <w:p w14:paraId="166A770D" w14:textId="77777777" w:rsidR="00843C23" w:rsidRPr="00BA4F7F" w:rsidRDefault="00000000">
            <w:pPr>
              <w:jc w:val="center"/>
            </w:pPr>
            <w:r w:rsidRPr="00BA4F7F">
              <w:rPr>
                <w:sz w:val="15"/>
              </w:rPr>
              <w:t>72,4</w:t>
            </w:r>
          </w:p>
        </w:tc>
        <w:tc>
          <w:tcPr>
            <w:tcW w:w="2880" w:type="dxa"/>
            <w:shd w:val="clear" w:color="auto" w:fill="F7F7F7"/>
            <w:tcMar>
              <w:top w:w="60" w:type="dxa"/>
              <w:left w:w="70" w:type="dxa"/>
              <w:bottom w:w="60" w:type="dxa"/>
              <w:right w:w="70" w:type="dxa"/>
            </w:tcMar>
            <w:vAlign w:val="center"/>
          </w:tcPr>
          <w:p w14:paraId="0D65FB5A" w14:textId="77777777" w:rsidR="00843C23" w:rsidRPr="00BA4F7F" w:rsidRDefault="00000000">
            <w:pPr>
              <w:jc w:val="center"/>
            </w:pPr>
            <w:r w:rsidRPr="00BA4F7F">
              <w:rPr>
                <w:sz w:val="15"/>
              </w:rPr>
              <w:t>Domknięte korytarze i zdolności portowe.</w:t>
            </w:r>
          </w:p>
        </w:tc>
        <w:tc>
          <w:tcPr>
            <w:tcW w:w="2880" w:type="dxa"/>
            <w:shd w:val="clear" w:color="auto" w:fill="F7F7F7"/>
            <w:tcMar>
              <w:top w:w="60" w:type="dxa"/>
              <w:left w:w="70" w:type="dxa"/>
              <w:bottom w:w="60" w:type="dxa"/>
              <w:right w:w="70" w:type="dxa"/>
            </w:tcMar>
            <w:vAlign w:val="center"/>
          </w:tcPr>
          <w:p w14:paraId="1C686611" w14:textId="77777777" w:rsidR="00843C23" w:rsidRPr="00BA4F7F" w:rsidRDefault="00000000">
            <w:pPr>
              <w:jc w:val="center"/>
            </w:pPr>
            <w:proofErr w:type="spellStart"/>
            <w:r w:rsidRPr="00BA4F7F">
              <w:rPr>
                <w:sz w:val="15"/>
              </w:rPr>
              <w:t>Rebazowanie</w:t>
            </w:r>
            <w:proofErr w:type="spellEnd"/>
            <w:r w:rsidRPr="00BA4F7F">
              <w:rPr>
                <w:sz w:val="15"/>
              </w:rPr>
              <w:t>, brakujące ogniwa i odległe efekty.</w:t>
            </w:r>
          </w:p>
        </w:tc>
      </w:tr>
      <w:tr w:rsidR="00843C23" w:rsidRPr="00BA4F7F" w14:paraId="7FF571F4" w14:textId="77777777">
        <w:trPr>
          <w:cantSplit/>
          <w:jc w:val="center"/>
        </w:trPr>
        <w:tc>
          <w:tcPr>
            <w:tcW w:w="2448" w:type="dxa"/>
            <w:tcMar>
              <w:top w:w="60" w:type="dxa"/>
              <w:left w:w="70" w:type="dxa"/>
              <w:bottom w:w="60" w:type="dxa"/>
              <w:right w:w="70" w:type="dxa"/>
            </w:tcMar>
            <w:vAlign w:val="center"/>
          </w:tcPr>
          <w:p w14:paraId="312CD05D" w14:textId="77777777" w:rsidR="00843C23" w:rsidRPr="00BA4F7F" w:rsidRDefault="00000000">
            <w:pPr>
              <w:jc w:val="left"/>
            </w:pPr>
            <w:r w:rsidRPr="00BA4F7F">
              <w:rPr>
                <w:b/>
                <w:sz w:val="15"/>
              </w:rPr>
              <w:t>Cyfryzacja</w:t>
            </w:r>
          </w:p>
        </w:tc>
        <w:tc>
          <w:tcPr>
            <w:tcW w:w="1152" w:type="dxa"/>
            <w:tcMar>
              <w:top w:w="60" w:type="dxa"/>
              <w:left w:w="70" w:type="dxa"/>
              <w:bottom w:w="60" w:type="dxa"/>
              <w:right w:w="70" w:type="dxa"/>
            </w:tcMar>
            <w:vAlign w:val="center"/>
          </w:tcPr>
          <w:p w14:paraId="1F424A31" w14:textId="77777777" w:rsidR="00843C23" w:rsidRPr="00BA4F7F" w:rsidRDefault="00000000">
            <w:pPr>
              <w:jc w:val="center"/>
            </w:pPr>
            <w:r w:rsidRPr="00BA4F7F">
              <w:rPr>
                <w:sz w:val="15"/>
              </w:rPr>
              <w:t>65,5</w:t>
            </w:r>
          </w:p>
        </w:tc>
        <w:tc>
          <w:tcPr>
            <w:tcW w:w="2880" w:type="dxa"/>
            <w:tcMar>
              <w:top w:w="60" w:type="dxa"/>
              <w:left w:w="70" w:type="dxa"/>
              <w:bottom w:w="60" w:type="dxa"/>
              <w:right w:w="70" w:type="dxa"/>
            </w:tcMar>
            <w:vAlign w:val="center"/>
          </w:tcPr>
          <w:p w14:paraId="4D24FB70" w14:textId="77777777" w:rsidR="00843C23" w:rsidRPr="00BA4F7F" w:rsidRDefault="00000000">
            <w:pPr>
              <w:jc w:val="center"/>
            </w:pPr>
            <w:r w:rsidRPr="00BA4F7F">
              <w:rPr>
                <w:sz w:val="15"/>
              </w:rPr>
              <w:t>Komercyjne usługi cyfrowe i masowe funkcje publiczne.</w:t>
            </w:r>
          </w:p>
        </w:tc>
        <w:tc>
          <w:tcPr>
            <w:tcW w:w="2880" w:type="dxa"/>
            <w:tcMar>
              <w:top w:w="60" w:type="dxa"/>
              <w:left w:w="70" w:type="dxa"/>
              <w:bottom w:w="60" w:type="dxa"/>
              <w:right w:w="70" w:type="dxa"/>
            </w:tcMar>
            <w:vAlign w:val="center"/>
          </w:tcPr>
          <w:p w14:paraId="1ECED606" w14:textId="77777777" w:rsidR="00843C23" w:rsidRPr="00BA4F7F" w:rsidRDefault="00000000">
            <w:pPr>
              <w:jc w:val="center"/>
            </w:pPr>
            <w:proofErr w:type="spellStart"/>
            <w:r w:rsidRPr="00BA4F7F">
              <w:rPr>
                <w:sz w:val="15"/>
              </w:rPr>
              <w:t>Cyberbezpieczeństwo</w:t>
            </w:r>
            <w:proofErr w:type="spellEnd"/>
            <w:r w:rsidRPr="00BA4F7F">
              <w:rPr>
                <w:sz w:val="15"/>
              </w:rPr>
              <w:t>, koordynacja, chmura i AI, regulacje oraz kompetencje wykonawcze.</w:t>
            </w:r>
          </w:p>
        </w:tc>
      </w:tr>
      <w:tr w:rsidR="00843C23" w:rsidRPr="00BA4F7F" w14:paraId="038F87E7" w14:textId="77777777">
        <w:trPr>
          <w:cantSplit/>
          <w:jc w:val="center"/>
        </w:trPr>
        <w:tc>
          <w:tcPr>
            <w:tcW w:w="2448" w:type="dxa"/>
            <w:shd w:val="clear" w:color="auto" w:fill="F7F7F7"/>
            <w:tcMar>
              <w:top w:w="60" w:type="dxa"/>
              <w:left w:w="70" w:type="dxa"/>
              <w:bottom w:w="60" w:type="dxa"/>
              <w:right w:w="70" w:type="dxa"/>
            </w:tcMar>
            <w:vAlign w:val="center"/>
          </w:tcPr>
          <w:p w14:paraId="06218C50" w14:textId="77777777" w:rsidR="00843C23" w:rsidRPr="00BA4F7F" w:rsidRDefault="00000000">
            <w:pPr>
              <w:jc w:val="left"/>
            </w:pPr>
            <w:r w:rsidRPr="00BA4F7F">
              <w:rPr>
                <w:b/>
                <w:sz w:val="15"/>
              </w:rPr>
              <w:t>Obronność i przemysł</w:t>
            </w:r>
          </w:p>
        </w:tc>
        <w:tc>
          <w:tcPr>
            <w:tcW w:w="1152" w:type="dxa"/>
            <w:shd w:val="clear" w:color="auto" w:fill="F7F7F7"/>
            <w:tcMar>
              <w:top w:w="60" w:type="dxa"/>
              <w:left w:w="70" w:type="dxa"/>
              <w:bottom w:w="60" w:type="dxa"/>
              <w:right w:w="70" w:type="dxa"/>
            </w:tcMar>
            <w:vAlign w:val="center"/>
          </w:tcPr>
          <w:p w14:paraId="5010977A" w14:textId="77777777" w:rsidR="00843C23" w:rsidRPr="00BA4F7F" w:rsidRDefault="00000000">
            <w:pPr>
              <w:jc w:val="center"/>
            </w:pPr>
            <w:r w:rsidRPr="00BA4F7F">
              <w:rPr>
                <w:sz w:val="15"/>
              </w:rPr>
              <w:t>88,1</w:t>
            </w:r>
          </w:p>
        </w:tc>
        <w:tc>
          <w:tcPr>
            <w:tcW w:w="2880" w:type="dxa"/>
            <w:shd w:val="clear" w:color="auto" w:fill="F7F7F7"/>
            <w:tcMar>
              <w:top w:w="60" w:type="dxa"/>
              <w:left w:w="70" w:type="dxa"/>
              <w:bottom w:w="60" w:type="dxa"/>
              <w:right w:w="70" w:type="dxa"/>
            </w:tcMar>
            <w:vAlign w:val="center"/>
          </w:tcPr>
          <w:p w14:paraId="279008ED" w14:textId="77777777" w:rsidR="00843C23" w:rsidRPr="00BA4F7F" w:rsidRDefault="00000000">
            <w:pPr>
              <w:jc w:val="center"/>
            </w:pPr>
            <w:r w:rsidRPr="00BA4F7F">
              <w:rPr>
                <w:sz w:val="15"/>
              </w:rPr>
              <w:t>Wysoki priorytet i szeroki zakres modernizacji.</w:t>
            </w:r>
          </w:p>
        </w:tc>
        <w:tc>
          <w:tcPr>
            <w:tcW w:w="2880" w:type="dxa"/>
            <w:shd w:val="clear" w:color="auto" w:fill="F7F7F7"/>
            <w:tcMar>
              <w:top w:w="60" w:type="dxa"/>
              <w:left w:w="70" w:type="dxa"/>
              <w:bottom w:w="60" w:type="dxa"/>
              <w:right w:w="70" w:type="dxa"/>
            </w:tcMar>
            <w:vAlign w:val="center"/>
          </w:tcPr>
          <w:p w14:paraId="5BB32B43" w14:textId="77777777" w:rsidR="00843C23" w:rsidRPr="00BA4F7F" w:rsidRDefault="00000000">
            <w:pPr>
              <w:jc w:val="center"/>
            </w:pPr>
            <w:r w:rsidRPr="00BA4F7F">
              <w:rPr>
                <w:sz w:val="15"/>
              </w:rPr>
              <w:t>Integracja, logistyka, zapasy i krajowy udział przemysłowy.</w:t>
            </w:r>
          </w:p>
        </w:tc>
      </w:tr>
    </w:tbl>
    <w:p w14:paraId="345D653C" w14:textId="77777777" w:rsidR="00843C23" w:rsidRPr="00BA4F7F" w:rsidRDefault="00843C23">
      <w:pPr>
        <w:spacing w:after="20" w:line="259" w:lineRule="auto"/>
      </w:pPr>
    </w:p>
    <w:tbl>
      <w:tblPr>
        <w:tblW w:w="0" w:type="auto"/>
        <w:jc w:val="center"/>
        <w:tblLayout w:type="fixed"/>
        <w:tblLook w:val="04A0" w:firstRow="1" w:lastRow="0" w:firstColumn="1" w:lastColumn="0" w:noHBand="0" w:noVBand="1"/>
      </w:tblPr>
      <w:tblGrid>
        <w:gridCol w:w="9432"/>
      </w:tblGrid>
      <w:tr w:rsidR="00843C23" w:rsidRPr="00BA4F7F" w14:paraId="349AE993" w14:textId="77777777">
        <w:trPr>
          <w:cantSplit/>
          <w:jc w:val="center"/>
        </w:trPr>
        <w:tc>
          <w:tcPr>
            <w:tcW w:w="9432" w:type="dxa"/>
            <w:tcBorders>
              <w:top w:val="single" w:sz="8" w:space="0" w:color="1F4E79"/>
              <w:left w:val="single" w:sz="8" w:space="0" w:color="1F4E79"/>
              <w:bottom w:val="single" w:sz="8" w:space="0" w:color="1F4E79"/>
              <w:right w:val="single" w:sz="8" w:space="0" w:color="1F4E79"/>
            </w:tcBorders>
            <w:shd w:val="clear" w:color="auto" w:fill="D9EAF7"/>
            <w:tcMar>
              <w:top w:w="130" w:type="dxa"/>
              <w:left w:w="160" w:type="dxa"/>
              <w:bottom w:w="130" w:type="dxa"/>
              <w:right w:w="160" w:type="dxa"/>
            </w:tcMar>
            <w:vAlign w:val="center"/>
          </w:tcPr>
          <w:p w14:paraId="7E019119" w14:textId="77777777" w:rsidR="00843C23" w:rsidRPr="00BA4F7F" w:rsidRDefault="00000000">
            <w:pPr>
              <w:spacing w:after="60"/>
            </w:pPr>
            <w:r w:rsidRPr="00BA4F7F">
              <w:rPr>
                <w:b/>
                <w:color w:val="1F4E79"/>
                <w:sz w:val="21"/>
              </w:rPr>
              <w:t>Wniosek portfelowy</w:t>
            </w:r>
          </w:p>
          <w:p w14:paraId="1D287846" w14:textId="77777777" w:rsidR="00843C23" w:rsidRPr="00BA4F7F" w:rsidRDefault="00000000">
            <w:pPr>
              <w:spacing w:after="0"/>
            </w:pPr>
            <w:r w:rsidRPr="00BA4F7F">
              <w:t xml:space="preserve">Państwo powinno przejść od zarządzania listą projektów do zarządzania portfelem zdolności. Każdy program musi mieć właściciela pełnego efektu, mapę interfejsów, realistyczną linię bazową, stabilne finansowanie, mierniki operacyjne i reguły </w:t>
            </w:r>
            <w:proofErr w:type="spellStart"/>
            <w:r w:rsidRPr="00BA4F7F">
              <w:t>rebazowania</w:t>
            </w:r>
            <w:proofErr w:type="spellEnd"/>
            <w:r w:rsidRPr="00BA4F7F">
              <w:t>.</w:t>
            </w:r>
          </w:p>
        </w:tc>
      </w:tr>
    </w:tbl>
    <w:p w14:paraId="35FF8591" w14:textId="77777777" w:rsidR="00843C23" w:rsidRPr="00BA4F7F" w:rsidRDefault="00843C23">
      <w:pPr>
        <w:spacing w:after="20" w:line="259" w:lineRule="auto"/>
      </w:pPr>
    </w:p>
    <w:p w14:paraId="26B3EB5C" w14:textId="77777777" w:rsidR="00843C23" w:rsidRPr="00BA4F7F" w:rsidRDefault="00000000">
      <w:pPr>
        <w:spacing w:line="259" w:lineRule="auto"/>
      </w:pPr>
      <w:r>
        <w:t>Ograniczeniem modelu pozostaje wysoka i relatywnie mało różnicująca wartość K1: projekty oraz rodziny zdolności zostały włączone do koszyka właśnie dlatego, że są strategiczne. Raport powinien więc zawsze eksponować K2 i K4, strukturę portfeli oraz rozkład pozycji, a nie tylko średnią 73,9 pkt. W cyfryzacji szczególne znaczenie ma również rozróżnienie między skalą użytkowania usługi a odpornością infrastruktury, jakością regulacji i zdolnością właściciela publicznego do utrzymania systemu.</w:t>
      </w:r>
    </w:p>
    <w:p w14:paraId="5F590089" w14:textId="77777777" w:rsidR="00843C23" w:rsidRPr="00BA4F7F" w:rsidRDefault="00000000">
      <w:pPr>
        <w:spacing w:line="259" w:lineRule="auto"/>
      </w:pPr>
      <w:r w:rsidRPr="00BA4F7F">
        <w:br w:type="page"/>
      </w:r>
    </w:p>
    <w:p w14:paraId="747678FC" w14:textId="77777777" w:rsidR="00843C23" w:rsidRPr="00BA4F7F" w:rsidRDefault="00000000">
      <w:pPr>
        <w:pStyle w:val="ChapterKicker"/>
        <w:keepNext/>
        <w:keepLines/>
        <w:rPr>
          <w:lang w:val="pl-PL"/>
        </w:rPr>
      </w:pPr>
      <w:r w:rsidRPr="00BA4F7F">
        <w:rPr>
          <w:lang w:val="pl-PL"/>
        </w:rPr>
        <w:lastRenderedPageBreak/>
        <w:t>SUBINDEKS 6</w:t>
      </w:r>
    </w:p>
    <w:p w14:paraId="000C4700" w14:textId="77777777" w:rsidR="00843C23" w:rsidRPr="00BA4F7F" w:rsidRDefault="00000000">
      <w:pPr>
        <w:pStyle w:val="Nagwek1"/>
        <w:spacing w:before="0"/>
      </w:pPr>
      <w:bookmarkStart w:id="22" w:name="_Toc236400281"/>
      <w:bookmarkStart w:id="23" w:name="_Toc236400508"/>
      <w:r w:rsidRPr="00BA4F7F">
        <w:t>12. Ład instytucjonalny – sprawność działania bez wspólnej stabilności systemowej</w:t>
      </w:r>
      <w:bookmarkEnd w:id="22"/>
      <w:bookmarkEnd w:id="23"/>
    </w:p>
    <w:tbl>
      <w:tblPr>
        <w:tblW w:w="0" w:type="auto"/>
        <w:tblLayout w:type="fixed"/>
        <w:tblLook w:val="04A0" w:firstRow="1" w:lastRow="0" w:firstColumn="1" w:lastColumn="0" w:noHBand="0" w:noVBand="1"/>
      </w:tblPr>
      <w:tblGrid>
        <w:gridCol w:w="1872"/>
        <w:gridCol w:w="7200"/>
      </w:tblGrid>
      <w:tr w:rsidR="00843C23" w:rsidRPr="00BA4F7F" w14:paraId="68531FC0" w14:textId="77777777">
        <w:trPr>
          <w:cantSplit/>
        </w:trPr>
        <w:tc>
          <w:tcPr>
            <w:tcW w:w="1872" w:type="dxa"/>
            <w:shd w:val="clear" w:color="auto" w:fill="1F4E79"/>
            <w:vAlign w:val="center"/>
          </w:tcPr>
          <w:p w14:paraId="720C6A64" w14:textId="77777777" w:rsidR="00843C23" w:rsidRPr="00BA4F7F" w:rsidRDefault="00000000">
            <w:pPr>
              <w:jc w:val="center"/>
            </w:pPr>
            <w:r w:rsidRPr="00BA4F7F">
              <w:rPr>
                <w:b/>
                <w:color w:val="FFFFFF"/>
                <w:sz w:val="48"/>
              </w:rPr>
              <w:t>34,7</w:t>
            </w:r>
          </w:p>
        </w:tc>
        <w:tc>
          <w:tcPr>
            <w:tcW w:w="7200" w:type="dxa"/>
            <w:shd w:val="clear" w:color="auto" w:fill="F3F6F9"/>
            <w:tcMar>
              <w:top w:w="70" w:type="dxa"/>
              <w:left w:w="90" w:type="dxa"/>
              <w:bottom w:w="70" w:type="dxa"/>
              <w:right w:w="90" w:type="dxa"/>
            </w:tcMar>
            <w:vAlign w:val="center"/>
          </w:tcPr>
          <w:p w14:paraId="615A82A7" w14:textId="77777777" w:rsidR="00537CA0" w:rsidRPr="00BA4F7F" w:rsidRDefault="00000000">
            <w:pPr>
              <w:spacing w:after="0" w:line="240" w:lineRule="auto"/>
              <w:jc w:val="left"/>
            </w:pPr>
            <w:r w:rsidRPr="00BA4F7F">
              <w:rPr>
                <w:color w:val="222222"/>
                <w:sz w:val="18"/>
              </w:rPr>
              <w:t>wysokie ryzyko strategiczne</w:t>
            </w:r>
            <w:r w:rsidRPr="00BA4F7F">
              <w:rPr>
                <w:color w:val="222222"/>
                <w:sz w:val="18"/>
              </w:rPr>
              <w:br/>
              <w:t>Ocena w skali 0–100 pkt.</w:t>
            </w:r>
          </w:p>
        </w:tc>
      </w:tr>
    </w:tbl>
    <w:p w14:paraId="57F5F5D8" w14:textId="77777777" w:rsidR="00843C23" w:rsidRPr="00BA4F7F" w:rsidRDefault="00000000">
      <w:pPr>
        <w:pStyle w:val="Lead"/>
        <w:keepNext/>
        <w:rPr>
          <w:lang w:val="pl-PL"/>
        </w:rPr>
      </w:pPr>
      <w:r w:rsidRPr="00BA4F7F">
        <w:rPr>
          <w:lang w:val="pl-PL"/>
        </w:rPr>
        <w:t>Państwo zachowuje ciągłość techniczną, ale ma poważny problem ze wspólną legalnością, przewidywalnością, egzekucją i korektą.</w:t>
      </w:r>
    </w:p>
    <w:p w14:paraId="11E54B4B" w14:textId="77777777" w:rsidR="00843C23" w:rsidRPr="00BA4F7F" w:rsidRDefault="00000000">
      <w:pPr>
        <w:keepNext/>
        <w:keepLines/>
        <w:spacing w:before="80" w:after="60" w:line="259" w:lineRule="auto"/>
        <w:jc w:val="center"/>
      </w:pPr>
      <w:r w:rsidRPr="00BA4F7F">
        <w:rPr>
          <w:noProof/>
        </w:rPr>
        <w:drawing>
          <wp:inline distT="0" distB="0" distL="0" distR="0" wp14:anchorId="3A3D0F21" wp14:editId="537A3DA1">
            <wp:extent cx="5897880" cy="3793286"/>
            <wp:effectExtent l="0" t="0" r="0" b="0"/>
            <wp:docPr id="20" name="Picture 20" descr="Wykres 17. Profil kryterialny Ładu instytucjonalnego." title="Wykre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_kryteria_lad.png"/>
                    <pic:cNvPicPr/>
                  </pic:nvPicPr>
                  <pic:blipFill>
                    <a:blip r:embed="rId23"/>
                    <a:stretch>
                      <a:fillRect/>
                    </a:stretch>
                  </pic:blipFill>
                  <pic:spPr>
                    <a:xfrm>
                      <a:off x="0" y="0"/>
                      <a:ext cx="5897880" cy="3793286"/>
                    </a:xfrm>
                    <a:prstGeom prst="rect">
                      <a:avLst/>
                    </a:prstGeom>
                  </pic:spPr>
                </pic:pic>
              </a:graphicData>
            </a:graphic>
          </wp:inline>
        </w:drawing>
      </w:r>
    </w:p>
    <w:p w14:paraId="24863E56" w14:textId="77777777" w:rsidR="00843C23" w:rsidRPr="00BA4F7F" w:rsidRDefault="00000000">
      <w:pPr>
        <w:pStyle w:val="Legenda"/>
        <w:keepNext/>
        <w:keepLines/>
        <w:jc w:val="center"/>
      </w:pPr>
      <w:r w:rsidRPr="00BA4F7F">
        <w:t>Wykres 15. Profil kryterialny Ładu instytucjonalnego.</w:t>
      </w:r>
    </w:p>
    <w:p w14:paraId="4D1224A9" w14:textId="77777777" w:rsidR="00843C23" w:rsidRPr="00BA4F7F" w:rsidRDefault="00000000">
      <w:pPr>
        <w:pStyle w:val="SourceNote"/>
        <w:keepLines/>
        <w:jc w:val="center"/>
        <w:rPr>
          <w:lang w:val="pl-PL"/>
        </w:rPr>
      </w:pPr>
      <w:r>
        <w:rPr>
          <w:lang w:val="pl-PL"/>
        </w:rPr>
        <w:t>Źródło: opracowanie własne na podstawie modelu głównego IRS – wersja 1.9, 31 lipca 2026.</w:t>
      </w:r>
    </w:p>
    <w:p w14:paraId="4C1542CE" w14:textId="77777777" w:rsidR="00843C23" w:rsidRPr="00BA4F7F" w:rsidRDefault="00000000">
      <w:pPr>
        <w:spacing w:line="259" w:lineRule="auto"/>
      </w:pPr>
      <w:r w:rsidRPr="00BA4F7F">
        <w:t>Ład instytucjonalny spada z 47,7 pkt w 2020 r. do 34,7 pkt w 2025 r. Krótkotrwała poprawa w 2022 r. wynikała z wysokiej sprawności kryzysowej i regulacyjnej, lecz nie oznaczała naprawy podstaw ustrojowych ani stabilności prawa. W 2024 r. nastąpiło najsilniejsze pogorszenie, a 2025 r. przyniósł jedynie 0,3 pkt poprawy.</w:t>
      </w:r>
    </w:p>
    <w:p w14:paraId="66B0C9C0" w14:textId="77777777" w:rsidR="00843C23" w:rsidRPr="00BA4F7F" w:rsidRDefault="00000000">
      <w:pPr>
        <w:spacing w:line="259" w:lineRule="auto"/>
      </w:pPr>
      <w:r w:rsidRPr="00BA4F7F">
        <w:t>Ciągłość konstytucyjna osiąga 16,7 pkt. Model nie diagnozuje zaniku państwa ani paraliżu wszystkich organów. Rejestruje głęboki deficyt wspólnie uznawanej legalności: wzajemne kwestionowanie statusu organów, obsady, orzeczeń i skutków decyzji. Taki stan jest strategicznie niebezpieczny, ponieważ zwiększa niepewność reguł niezależnie od tego, która strona sporu uważa swoje działania za naprawcze.</w:t>
      </w:r>
    </w:p>
    <w:p w14:paraId="2738C0B0" w14:textId="77777777" w:rsidR="00843C23" w:rsidRPr="00BA4F7F" w:rsidRDefault="00000000">
      <w:pPr>
        <w:spacing w:line="259" w:lineRule="auto"/>
      </w:pPr>
      <w:r w:rsidRPr="00BA4F7F">
        <w:t>Sprawność instytucjonalna osiąga 43,3 pkt. Państwo potrafi uruchamiać masowe działania i usługi, ale ma problem z trwałym centrum koordynacji, mierzeniem efektu, odpowiedzialnością właścicieli procesów i uczeniem się ex post. Wysokie wyniki pojawiają się przy jednoznacznym celu kryzysowym; rutynowe prowadzenie reform jest słabsze.</w:t>
      </w:r>
    </w:p>
    <w:p w14:paraId="4744F608" w14:textId="77777777" w:rsidR="00843C23" w:rsidRPr="00BA4F7F" w:rsidRDefault="00000000">
      <w:pPr>
        <w:spacing w:line="259" w:lineRule="auto"/>
      </w:pPr>
      <w:r w:rsidRPr="00BA4F7F">
        <w:t>Stabilność i egzekwowalność prawa osiągają 40,0 pkt. Poprawa względem minimum z 2022 r. wynika z mniejszego chaosu podatkowego, lecz nie oznacza pełnego odzyskania przewidywalności. Ochrona własności, kontraktów i praw nabytych pozostaje niska, a sprawność rozstrzygania sporów nie wykazuje potwierdzonego przełomu.</w:t>
      </w:r>
    </w:p>
    <w:p w14:paraId="3B9F5F6F" w14:textId="77777777" w:rsidR="00843C23" w:rsidRPr="00BA4F7F" w:rsidRDefault="00000000">
      <w:pPr>
        <w:spacing w:line="259" w:lineRule="auto"/>
      </w:pPr>
      <w:r w:rsidRPr="00BA4F7F">
        <w:t>Zmiany regulacyjne osiągają 38,8 pkt. Ocena nie zależy od liczby ustaw, lecz od tego, czy regulacja odpowiada na realną barierę, ma finansowanie, akty wykonawcze, właściciela, mierniki i mechanizm korekty. Słabości dotyczą infrastruktury, zdrowia, polityki przemysłowej oraz kompetencji naukowo-technologicznych państwa.</w:t>
      </w:r>
    </w:p>
    <w:p w14:paraId="6C1CE696" w14:textId="77777777" w:rsidR="00843C23" w:rsidRPr="00BA4F7F" w:rsidRDefault="00000000">
      <w:pPr>
        <w:spacing w:line="259" w:lineRule="auto"/>
      </w:pPr>
      <w:r w:rsidRPr="00BA4F7F">
        <w:t xml:space="preserve">Ocena otoczenia instytucjonalnego wymaga odróżnienia kierunku reform od trwałego stanu systemu. Zewnętrzne raporty z 2025 r. odnotowywały zarówno istotne działania naprawcze, jak i utrzymanie nierozwiązanych problemów dotyczących wymiaru sprawiedliwości i mechanizmów równowagi władz. W logice IRS punktacja powinna rosnąć </w:t>
      </w:r>
      <w:r w:rsidRPr="00BA4F7F">
        <w:lastRenderedPageBreak/>
        <w:t>dopiero wtedy, gdy nowe rozwiązanie wejdzie w życie, zostanie zaakceptowane przez kluczowe instytucje i zacznie wytwarzać przewidywalne skutki.</w:t>
      </w:r>
    </w:p>
    <w:tbl>
      <w:tblPr>
        <w:tblStyle w:val="Tabela-Siatka"/>
        <w:tblW w:w="0" w:type="auto"/>
        <w:jc w:val="center"/>
        <w:tblLayout w:type="fixed"/>
        <w:tblLook w:val="04A0" w:firstRow="1" w:lastRow="0" w:firstColumn="1" w:lastColumn="0" w:noHBand="0" w:noVBand="1"/>
      </w:tblPr>
      <w:tblGrid>
        <w:gridCol w:w="3168"/>
        <w:gridCol w:w="1008"/>
        <w:gridCol w:w="1008"/>
        <w:gridCol w:w="1152"/>
        <w:gridCol w:w="2880"/>
      </w:tblGrid>
      <w:tr w:rsidR="00843C23" w:rsidRPr="00BA4F7F" w14:paraId="2D778F6D" w14:textId="77777777">
        <w:trPr>
          <w:cantSplit/>
          <w:tblHeader/>
          <w:jc w:val="center"/>
        </w:trPr>
        <w:tc>
          <w:tcPr>
            <w:tcW w:w="3168" w:type="dxa"/>
            <w:shd w:val="clear" w:color="auto" w:fill="1F4E79"/>
            <w:tcMar>
              <w:top w:w="70" w:type="dxa"/>
              <w:left w:w="80" w:type="dxa"/>
              <w:bottom w:w="70" w:type="dxa"/>
              <w:right w:w="80" w:type="dxa"/>
            </w:tcMar>
            <w:vAlign w:val="center"/>
          </w:tcPr>
          <w:p w14:paraId="2BC6EA5A" w14:textId="77777777" w:rsidR="00843C23" w:rsidRPr="00BA4F7F" w:rsidRDefault="00000000">
            <w:pPr>
              <w:jc w:val="center"/>
            </w:pPr>
            <w:proofErr w:type="spellStart"/>
            <w:r w:rsidRPr="00BA4F7F">
              <w:rPr>
                <w:b/>
                <w:color w:val="FFFFFF"/>
                <w:sz w:val="16"/>
              </w:rPr>
              <w:t>Subobszar</w:t>
            </w:r>
            <w:proofErr w:type="spellEnd"/>
          </w:p>
        </w:tc>
        <w:tc>
          <w:tcPr>
            <w:tcW w:w="1008" w:type="dxa"/>
            <w:shd w:val="clear" w:color="auto" w:fill="1F4E79"/>
            <w:tcMar>
              <w:top w:w="70" w:type="dxa"/>
              <w:left w:w="80" w:type="dxa"/>
              <w:bottom w:w="70" w:type="dxa"/>
              <w:right w:w="80" w:type="dxa"/>
            </w:tcMar>
            <w:vAlign w:val="center"/>
          </w:tcPr>
          <w:p w14:paraId="09193ADE" w14:textId="77777777" w:rsidR="00843C23" w:rsidRPr="00BA4F7F" w:rsidRDefault="00000000">
            <w:pPr>
              <w:jc w:val="center"/>
            </w:pPr>
            <w:r w:rsidRPr="00BA4F7F">
              <w:rPr>
                <w:b/>
                <w:color w:val="FFFFFF"/>
                <w:sz w:val="16"/>
              </w:rPr>
              <w:t>2020</w:t>
            </w:r>
          </w:p>
        </w:tc>
        <w:tc>
          <w:tcPr>
            <w:tcW w:w="1008" w:type="dxa"/>
            <w:shd w:val="clear" w:color="auto" w:fill="1F4E79"/>
            <w:tcMar>
              <w:top w:w="70" w:type="dxa"/>
              <w:left w:w="80" w:type="dxa"/>
              <w:bottom w:w="70" w:type="dxa"/>
              <w:right w:w="80" w:type="dxa"/>
            </w:tcMar>
            <w:vAlign w:val="center"/>
          </w:tcPr>
          <w:p w14:paraId="27F404A8" w14:textId="77777777" w:rsidR="00843C23" w:rsidRPr="00BA4F7F" w:rsidRDefault="00000000">
            <w:pPr>
              <w:jc w:val="center"/>
            </w:pPr>
            <w:r w:rsidRPr="00BA4F7F">
              <w:rPr>
                <w:b/>
                <w:color w:val="FFFFFF"/>
                <w:sz w:val="16"/>
              </w:rPr>
              <w:t>2025</w:t>
            </w:r>
          </w:p>
        </w:tc>
        <w:tc>
          <w:tcPr>
            <w:tcW w:w="1152" w:type="dxa"/>
            <w:shd w:val="clear" w:color="auto" w:fill="1F4E79"/>
            <w:tcMar>
              <w:top w:w="70" w:type="dxa"/>
              <w:left w:w="80" w:type="dxa"/>
              <w:bottom w:w="70" w:type="dxa"/>
              <w:right w:w="80" w:type="dxa"/>
            </w:tcMar>
            <w:vAlign w:val="center"/>
          </w:tcPr>
          <w:p w14:paraId="576368BD" w14:textId="77777777" w:rsidR="00843C23" w:rsidRPr="00BA4F7F" w:rsidRDefault="00000000">
            <w:pPr>
              <w:jc w:val="center"/>
            </w:pPr>
            <w:r w:rsidRPr="00BA4F7F">
              <w:rPr>
                <w:b/>
                <w:color w:val="FFFFFF"/>
                <w:sz w:val="16"/>
              </w:rPr>
              <w:t>Zmiana</w:t>
            </w:r>
          </w:p>
        </w:tc>
        <w:tc>
          <w:tcPr>
            <w:tcW w:w="2880" w:type="dxa"/>
            <w:shd w:val="clear" w:color="auto" w:fill="1F4E79"/>
            <w:tcMar>
              <w:top w:w="70" w:type="dxa"/>
              <w:left w:w="80" w:type="dxa"/>
              <w:bottom w:w="70" w:type="dxa"/>
              <w:right w:w="80" w:type="dxa"/>
            </w:tcMar>
            <w:vAlign w:val="center"/>
          </w:tcPr>
          <w:p w14:paraId="1BB5EDFC" w14:textId="77777777" w:rsidR="00843C23" w:rsidRPr="00BA4F7F" w:rsidRDefault="00000000">
            <w:pPr>
              <w:jc w:val="center"/>
            </w:pPr>
            <w:r w:rsidRPr="00BA4F7F">
              <w:rPr>
                <w:b/>
                <w:color w:val="FFFFFF"/>
                <w:sz w:val="16"/>
              </w:rPr>
              <w:t>Diagnoza</w:t>
            </w:r>
          </w:p>
        </w:tc>
      </w:tr>
      <w:tr w:rsidR="00843C23" w:rsidRPr="00BA4F7F" w14:paraId="03FCF79A" w14:textId="77777777">
        <w:trPr>
          <w:cantSplit/>
          <w:jc w:val="center"/>
        </w:trPr>
        <w:tc>
          <w:tcPr>
            <w:tcW w:w="3168" w:type="dxa"/>
            <w:tcMar>
              <w:top w:w="60" w:type="dxa"/>
              <w:left w:w="70" w:type="dxa"/>
              <w:bottom w:w="60" w:type="dxa"/>
              <w:right w:w="70" w:type="dxa"/>
            </w:tcMar>
            <w:vAlign w:val="center"/>
          </w:tcPr>
          <w:p w14:paraId="5EC608E2" w14:textId="77777777" w:rsidR="00843C23" w:rsidRPr="00BA4F7F" w:rsidRDefault="00000000">
            <w:pPr>
              <w:jc w:val="left"/>
            </w:pPr>
            <w:r w:rsidRPr="00BA4F7F">
              <w:rPr>
                <w:b/>
                <w:sz w:val="15"/>
              </w:rPr>
              <w:t>Ciągłość konstytucyjna</w:t>
            </w:r>
          </w:p>
        </w:tc>
        <w:tc>
          <w:tcPr>
            <w:tcW w:w="1008" w:type="dxa"/>
            <w:tcMar>
              <w:top w:w="60" w:type="dxa"/>
              <w:left w:w="70" w:type="dxa"/>
              <w:bottom w:w="60" w:type="dxa"/>
              <w:right w:w="70" w:type="dxa"/>
            </w:tcMar>
            <w:vAlign w:val="center"/>
          </w:tcPr>
          <w:p w14:paraId="6E4FC075" w14:textId="77777777" w:rsidR="00843C23" w:rsidRPr="00BA4F7F" w:rsidRDefault="00000000">
            <w:pPr>
              <w:jc w:val="center"/>
            </w:pPr>
            <w:r w:rsidRPr="00BA4F7F">
              <w:rPr>
                <w:sz w:val="15"/>
              </w:rPr>
              <w:t>35,0</w:t>
            </w:r>
          </w:p>
        </w:tc>
        <w:tc>
          <w:tcPr>
            <w:tcW w:w="1008" w:type="dxa"/>
            <w:tcMar>
              <w:top w:w="60" w:type="dxa"/>
              <w:left w:w="70" w:type="dxa"/>
              <w:bottom w:w="60" w:type="dxa"/>
              <w:right w:w="70" w:type="dxa"/>
            </w:tcMar>
            <w:vAlign w:val="center"/>
          </w:tcPr>
          <w:p w14:paraId="04973A19" w14:textId="77777777" w:rsidR="00843C23" w:rsidRPr="00BA4F7F" w:rsidRDefault="00000000">
            <w:pPr>
              <w:jc w:val="center"/>
            </w:pPr>
            <w:r w:rsidRPr="00BA4F7F">
              <w:rPr>
                <w:sz w:val="15"/>
              </w:rPr>
              <w:t>16,7</w:t>
            </w:r>
          </w:p>
        </w:tc>
        <w:tc>
          <w:tcPr>
            <w:tcW w:w="1152" w:type="dxa"/>
            <w:tcMar>
              <w:top w:w="60" w:type="dxa"/>
              <w:left w:w="70" w:type="dxa"/>
              <w:bottom w:w="60" w:type="dxa"/>
              <w:right w:w="70" w:type="dxa"/>
            </w:tcMar>
            <w:vAlign w:val="center"/>
          </w:tcPr>
          <w:p w14:paraId="389C92A5" w14:textId="77777777" w:rsidR="00843C23" w:rsidRPr="00BA4F7F" w:rsidRDefault="00000000">
            <w:pPr>
              <w:jc w:val="center"/>
            </w:pPr>
            <w:r w:rsidRPr="00BA4F7F">
              <w:rPr>
                <w:sz w:val="15"/>
              </w:rPr>
              <w:t>−18,3</w:t>
            </w:r>
          </w:p>
        </w:tc>
        <w:tc>
          <w:tcPr>
            <w:tcW w:w="2880" w:type="dxa"/>
            <w:tcMar>
              <w:top w:w="60" w:type="dxa"/>
              <w:left w:w="70" w:type="dxa"/>
              <w:bottom w:w="60" w:type="dxa"/>
              <w:right w:w="70" w:type="dxa"/>
            </w:tcMar>
            <w:vAlign w:val="center"/>
          </w:tcPr>
          <w:p w14:paraId="69B29B4E" w14:textId="77777777" w:rsidR="00843C23" w:rsidRPr="00BA4F7F" w:rsidRDefault="00000000">
            <w:pPr>
              <w:jc w:val="center"/>
            </w:pPr>
            <w:r w:rsidRPr="00BA4F7F">
              <w:rPr>
                <w:sz w:val="15"/>
              </w:rPr>
              <w:t>ryzyko krytyczne</w:t>
            </w:r>
          </w:p>
        </w:tc>
      </w:tr>
      <w:tr w:rsidR="00843C23" w:rsidRPr="00BA4F7F" w14:paraId="3FCF6022" w14:textId="77777777">
        <w:trPr>
          <w:cantSplit/>
          <w:jc w:val="center"/>
        </w:trPr>
        <w:tc>
          <w:tcPr>
            <w:tcW w:w="3168" w:type="dxa"/>
            <w:shd w:val="clear" w:color="auto" w:fill="F7F7F7"/>
            <w:tcMar>
              <w:top w:w="60" w:type="dxa"/>
              <w:left w:w="70" w:type="dxa"/>
              <w:bottom w:w="60" w:type="dxa"/>
              <w:right w:w="70" w:type="dxa"/>
            </w:tcMar>
            <w:vAlign w:val="center"/>
          </w:tcPr>
          <w:p w14:paraId="1AB37084" w14:textId="77777777" w:rsidR="00843C23" w:rsidRPr="00BA4F7F" w:rsidRDefault="00000000">
            <w:pPr>
              <w:jc w:val="left"/>
            </w:pPr>
            <w:r w:rsidRPr="00BA4F7F">
              <w:rPr>
                <w:b/>
                <w:sz w:val="15"/>
              </w:rPr>
              <w:t>Sprawność instytucjonalna</w:t>
            </w:r>
          </w:p>
        </w:tc>
        <w:tc>
          <w:tcPr>
            <w:tcW w:w="1008" w:type="dxa"/>
            <w:shd w:val="clear" w:color="auto" w:fill="F7F7F7"/>
            <w:tcMar>
              <w:top w:w="60" w:type="dxa"/>
              <w:left w:w="70" w:type="dxa"/>
              <w:bottom w:w="60" w:type="dxa"/>
              <w:right w:w="70" w:type="dxa"/>
            </w:tcMar>
            <w:vAlign w:val="center"/>
          </w:tcPr>
          <w:p w14:paraId="70F039D0" w14:textId="77777777" w:rsidR="00843C23" w:rsidRPr="00BA4F7F" w:rsidRDefault="00000000">
            <w:pPr>
              <w:jc w:val="center"/>
            </w:pPr>
            <w:r w:rsidRPr="00BA4F7F">
              <w:rPr>
                <w:sz w:val="15"/>
              </w:rPr>
              <w:t>60,0</w:t>
            </w:r>
          </w:p>
        </w:tc>
        <w:tc>
          <w:tcPr>
            <w:tcW w:w="1008" w:type="dxa"/>
            <w:shd w:val="clear" w:color="auto" w:fill="F7F7F7"/>
            <w:tcMar>
              <w:top w:w="60" w:type="dxa"/>
              <w:left w:w="70" w:type="dxa"/>
              <w:bottom w:w="60" w:type="dxa"/>
              <w:right w:w="70" w:type="dxa"/>
            </w:tcMar>
            <w:vAlign w:val="center"/>
          </w:tcPr>
          <w:p w14:paraId="4AE6D3CD" w14:textId="77777777" w:rsidR="00843C23" w:rsidRPr="00BA4F7F" w:rsidRDefault="00000000">
            <w:pPr>
              <w:jc w:val="center"/>
            </w:pPr>
            <w:r w:rsidRPr="00BA4F7F">
              <w:rPr>
                <w:sz w:val="15"/>
              </w:rPr>
              <w:t>43,3</w:t>
            </w:r>
          </w:p>
        </w:tc>
        <w:tc>
          <w:tcPr>
            <w:tcW w:w="1152" w:type="dxa"/>
            <w:shd w:val="clear" w:color="auto" w:fill="F7F7F7"/>
            <w:tcMar>
              <w:top w:w="60" w:type="dxa"/>
              <w:left w:w="70" w:type="dxa"/>
              <w:bottom w:w="60" w:type="dxa"/>
              <w:right w:w="70" w:type="dxa"/>
            </w:tcMar>
            <w:vAlign w:val="center"/>
          </w:tcPr>
          <w:p w14:paraId="14584767" w14:textId="77777777" w:rsidR="00843C23" w:rsidRPr="00BA4F7F" w:rsidRDefault="00000000">
            <w:pPr>
              <w:jc w:val="center"/>
            </w:pPr>
            <w:r w:rsidRPr="00BA4F7F">
              <w:rPr>
                <w:sz w:val="15"/>
              </w:rPr>
              <w:t>−16,7</w:t>
            </w:r>
          </w:p>
        </w:tc>
        <w:tc>
          <w:tcPr>
            <w:tcW w:w="2880" w:type="dxa"/>
            <w:shd w:val="clear" w:color="auto" w:fill="F7F7F7"/>
            <w:tcMar>
              <w:top w:w="60" w:type="dxa"/>
              <w:left w:w="70" w:type="dxa"/>
              <w:bottom w:w="60" w:type="dxa"/>
              <w:right w:w="70" w:type="dxa"/>
            </w:tcMar>
            <w:vAlign w:val="center"/>
          </w:tcPr>
          <w:p w14:paraId="19B7EB6C" w14:textId="77777777" w:rsidR="00843C23" w:rsidRPr="00BA4F7F" w:rsidRDefault="00000000">
            <w:pPr>
              <w:jc w:val="center"/>
            </w:pPr>
            <w:r w:rsidRPr="00BA4F7F">
              <w:rPr>
                <w:sz w:val="15"/>
              </w:rPr>
              <w:t>słaba lub niepełna odporność</w:t>
            </w:r>
          </w:p>
        </w:tc>
      </w:tr>
      <w:tr w:rsidR="00843C23" w:rsidRPr="00BA4F7F" w14:paraId="077AC562" w14:textId="77777777">
        <w:trPr>
          <w:cantSplit/>
          <w:jc w:val="center"/>
        </w:trPr>
        <w:tc>
          <w:tcPr>
            <w:tcW w:w="3168" w:type="dxa"/>
            <w:tcMar>
              <w:top w:w="60" w:type="dxa"/>
              <w:left w:w="70" w:type="dxa"/>
              <w:bottom w:w="60" w:type="dxa"/>
              <w:right w:w="70" w:type="dxa"/>
            </w:tcMar>
            <w:vAlign w:val="center"/>
          </w:tcPr>
          <w:p w14:paraId="11A7C049" w14:textId="77777777" w:rsidR="00843C23" w:rsidRPr="00BA4F7F" w:rsidRDefault="00000000">
            <w:pPr>
              <w:jc w:val="left"/>
            </w:pPr>
            <w:r w:rsidRPr="00BA4F7F">
              <w:rPr>
                <w:b/>
                <w:sz w:val="15"/>
              </w:rPr>
              <w:t>Stabilność i egzekwowalność prawa</w:t>
            </w:r>
          </w:p>
        </w:tc>
        <w:tc>
          <w:tcPr>
            <w:tcW w:w="1008" w:type="dxa"/>
            <w:tcMar>
              <w:top w:w="60" w:type="dxa"/>
              <w:left w:w="70" w:type="dxa"/>
              <w:bottom w:w="60" w:type="dxa"/>
              <w:right w:w="70" w:type="dxa"/>
            </w:tcMar>
            <w:vAlign w:val="center"/>
          </w:tcPr>
          <w:p w14:paraId="6B887261" w14:textId="77777777" w:rsidR="00843C23" w:rsidRPr="00BA4F7F" w:rsidRDefault="00000000">
            <w:pPr>
              <w:jc w:val="center"/>
            </w:pPr>
            <w:r w:rsidRPr="00BA4F7F">
              <w:rPr>
                <w:sz w:val="15"/>
              </w:rPr>
              <w:t>43,3</w:t>
            </w:r>
          </w:p>
        </w:tc>
        <w:tc>
          <w:tcPr>
            <w:tcW w:w="1008" w:type="dxa"/>
            <w:tcMar>
              <w:top w:w="60" w:type="dxa"/>
              <w:left w:w="70" w:type="dxa"/>
              <w:bottom w:w="60" w:type="dxa"/>
              <w:right w:w="70" w:type="dxa"/>
            </w:tcMar>
            <w:vAlign w:val="center"/>
          </w:tcPr>
          <w:p w14:paraId="6C98E67A" w14:textId="77777777" w:rsidR="00843C23" w:rsidRPr="00BA4F7F" w:rsidRDefault="00000000">
            <w:pPr>
              <w:jc w:val="center"/>
            </w:pPr>
            <w:r w:rsidRPr="00BA4F7F">
              <w:rPr>
                <w:sz w:val="15"/>
              </w:rPr>
              <w:t>40,0</w:t>
            </w:r>
          </w:p>
        </w:tc>
        <w:tc>
          <w:tcPr>
            <w:tcW w:w="1152" w:type="dxa"/>
            <w:tcMar>
              <w:top w:w="60" w:type="dxa"/>
              <w:left w:w="70" w:type="dxa"/>
              <w:bottom w:w="60" w:type="dxa"/>
              <w:right w:w="70" w:type="dxa"/>
            </w:tcMar>
            <w:vAlign w:val="center"/>
          </w:tcPr>
          <w:p w14:paraId="40CEBE3F" w14:textId="77777777" w:rsidR="00843C23" w:rsidRPr="00BA4F7F" w:rsidRDefault="00000000">
            <w:pPr>
              <w:jc w:val="center"/>
            </w:pPr>
            <w:r w:rsidRPr="00BA4F7F">
              <w:rPr>
                <w:sz w:val="15"/>
              </w:rPr>
              <w:t>−3,3</w:t>
            </w:r>
          </w:p>
        </w:tc>
        <w:tc>
          <w:tcPr>
            <w:tcW w:w="2880" w:type="dxa"/>
            <w:tcMar>
              <w:top w:w="60" w:type="dxa"/>
              <w:left w:w="70" w:type="dxa"/>
              <w:bottom w:w="60" w:type="dxa"/>
              <w:right w:w="70" w:type="dxa"/>
            </w:tcMar>
            <w:vAlign w:val="center"/>
          </w:tcPr>
          <w:p w14:paraId="56654E54" w14:textId="77777777" w:rsidR="00843C23" w:rsidRPr="00BA4F7F" w:rsidRDefault="00000000">
            <w:pPr>
              <w:jc w:val="center"/>
            </w:pPr>
            <w:r w:rsidRPr="00BA4F7F">
              <w:rPr>
                <w:sz w:val="15"/>
              </w:rPr>
              <w:t>słaba lub niepełna odporność</w:t>
            </w:r>
          </w:p>
        </w:tc>
      </w:tr>
      <w:tr w:rsidR="00843C23" w:rsidRPr="00BA4F7F" w14:paraId="793954DD" w14:textId="77777777">
        <w:trPr>
          <w:cantSplit/>
          <w:jc w:val="center"/>
        </w:trPr>
        <w:tc>
          <w:tcPr>
            <w:tcW w:w="3168" w:type="dxa"/>
            <w:shd w:val="clear" w:color="auto" w:fill="F7F7F7"/>
            <w:tcMar>
              <w:top w:w="60" w:type="dxa"/>
              <w:left w:w="70" w:type="dxa"/>
              <w:bottom w:w="60" w:type="dxa"/>
              <w:right w:w="70" w:type="dxa"/>
            </w:tcMar>
            <w:vAlign w:val="center"/>
          </w:tcPr>
          <w:p w14:paraId="0BF3046A" w14:textId="77777777" w:rsidR="00843C23" w:rsidRPr="00BA4F7F" w:rsidRDefault="00000000">
            <w:pPr>
              <w:jc w:val="left"/>
            </w:pPr>
            <w:r w:rsidRPr="00BA4F7F">
              <w:rPr>
                <w:b/>
                <w:sz w:val="15"/>
              </w:rPr>
              <w:t>Zmiany regulacyjne</w:t>
            </w:r>
          </w:p>
        </w:tc>
        <w:tc>
          <w:tcPr>
            <w:tcW w:w="1008" w:type="dxa"/>
            <w:shd w:val="clear" w:color="auto" w:fill="F7F7F7"/>
            <w:tcMar>
              <w:top w:w="60" w:type="dxa"/>
              <w:left w:w="70" w:type="dxa"/>
              <w:bottom w:w="60" w:type="dxa"/>
              <w:right w:w="70" w:type="dxa"/>
            </w:tcMar>
            <w:vAlign w:val="center"/>
          </w:tcPr>
          <w:p w14:paraId="04FD18C0" w14:textId="77777777" w:rsidR="00843C23" w:rsidRPr="00BA4F7F" w:rsidRDefault="00000000">
            <w:pPr>
              <w:jc w:val="center"/>
            </w:pPr>
            <w:r w:rsidRPr="00BA4F7F">
              <w:rPr>
                <w:sz w:val="15"/>
              </w:rPr>
              <w:t>52,5</w:t>
            </w:r>
          </w:p>
        </w:tc>
        <w:tc>
          <w:tcPr>
            <w:tcW w:w="1008" w:type="dxa"/>
            <w:shd w:val="clear" w:color="auto" w:fill="F7F7F7"/>
            <w:tcMar>
              <w:top w:w="60" w:type="dxa"/>
              <w:left w:w="70" w:type="dxa"/>
              <w:bottom w:w="60" w:type="dxa"/>
              <w:right w:w="70" w:type="dxa"/>
            </w:tcMar>
            <w:vAlign w:val="center"/>
          </w:tcPr>
          <w:p w14:paraId="7CAB20BD" w14:textId="77777777" w:rsidR="00843C23" w:rsidRPr="00BA4F7F" w:rsidRDefault="00000000">
            <w:pPr>
              <w:jc w:val="center"/>
            </w:pPr>
            <w:r w:rsidRPr="00BA4F7F">
              <w:rPr>
                <w:sz w:val="15"/>
              </w:rPr>
              <w:t>38,8</w:t>
            </w:r>
          </w:p>
        </w:tc>
        <w:tc>
          <w:tcPr>
            <w:tcW w:w="1152" w:type="dxa"/>
            <w:shd w:val="clear" w:color="auto" w:fill="F7F7F7"/>
            <w:tcMar>
              <w:top w:w="60" w:type="dxa"/>
              <w:left w:w="70" w:type="dxa"/>
              <w:bottom w:w="60" w:type="dxa"/>
              <w:right w:w="70" w:type="dxa"/>
            </w:tcMar>
            <w:vAlign w:val="center"/>
          </w:tcPr>
          <w:p w14:paraId="4C13EC32" w14:textId="77777777" w:rsidR="00843C23" w:rsidRPr="00BA4F7F" w:rsidRDefault="00000000">
            <w:pPr>
              <w:jc w:val="center"/>
            </w:pPr>
            <w:r w:rsidRPr="00BA4F7F">
              <w:rPr>
                <w:sz w:val="15"/>
              </w:rPr>
              <w:t>−13,8</w:t>
            </w:r>
          </w:p>
        </w:tc>
        <w:tc>
          <w:tcPr>
            <w:tcW w:w="2880" w:type="dxa"/>
            <w:shd w:val="clear" w:color="auto" w:fill="F7F7F7"/>
            <w:tcMar>
              <w:top w:w="60" w:type="dxa"/>
              <w:left w:w="70" w:type="dxa"/>
              <w:bottom w:w="60" w:type="dxa"/>
              <w:right w:w="70" w:type="dxa"/>
            </w:tcMar>
            <w:vAlign w:val="center"/>
          </w:tcPr>
          <w:p w14:paraId="3359059E" w14:textId="77777777" w:rsidR="00843C23" w:rsidRPr="00BA4F7F" w:rsidRDefault="00000000">
            <w:pPr>
              <w:jc w:val="center"/>
            </w:pPr>
            <w:r w:rsidRPr="00BA4F7F">
              <w:rPr>
                <w:sz w:val="15"/>
              </w:rPr>
              <w:t>wysokie ryzyko strategiczne</w:t>
            </w:r>
          </w:p>
        </w:tc>
      </w:tr>
    </w:tbl>
    <w:p w14:paraId="277993A7" w14:textId="77777777" w:rsidR="00843C23" w:rsidRPr="00BA4F7F" w:rsidRDefault="00843C23">
      <w:pPr>
        <w:spacing w:after="20" w:line="259" w:lineRule="auto"/>
      </w:pPr>
    </w:p>
    <w:tbl>
      <w:tblPr>
        <w:tblW w:w="0" w:type="auto"/>
        <w:jc w:val="center"/>
        <w:tblLayout w:type="fixed"/>
        <w:tblLook w:val="04A0" w:firstRow="1" w:lastRow="0" w:firstColumn="1" w:lastColumn="0" w:noHBand="0" w:noVBand="1"/>
      </w:tblPr>
      <w:tblGrid>
        <w:gridCol w:w="9432"/>
      </w:tblGrid>
      <w:tr w:rsidR="00843C23" w:rsidRPr="00BA4F7F" w14:paraId="4CC671C9" w14:textId="77777777">
        <w:trPr>
          <w:cantSplit/>
          <w:jc w:val="center"/>
        </w:trPr>
        <w:tc>
          <w:tcPr>
            <w:tcW w:w="9432" w:type="dxa"/>
            <w:tcBorders>
              <w:top w:val="single" w:sz="8" w:space="0" w:color="A61B1B"/>
              <w:left w:val="single" w:sz="8" w:space="0" w:color="A61B1B"/>
              <w:bottom w:val="single" w:sz="8" w:space="0" w:color="A61B1B"/>
              <w:right w:val="single" w:sz="8" w:space="0" w:color="A61B1B"/>
            </w:tcBorders>
            <w:shd w:val="clear" w:color="auto" w:fill="F4CCCC"/>
            <w:tcMar>
              <w:top w:w="130" w:type="dxa"/>
              <w:left w:w="160" w:type="dxa"/>
              <w:bottom w:w="130" w:type="dxa"/>
              <w:right w:w="160" w:type="dxa"/>
            </w:tcMar>
            <w:vAlign w:val="center"/>
          </w:tcPr>
          <w:p w14:paraId="7E2240C3" w14:textId="77777777" w:rsidR="00843C23" w:rsidRPr="00BA4F7F" w:rsidRDefault="00000000">
            <w:pPr>
              <w:spacing w:after="60"/>
            </w:pPr>
            <w:r w:rsidRPr="00BA4F7F">
              <w:rPr>
                <w:b/>
                <w:color w:val="A61B1B"/>
                <w:sz w:val="21"/>
              </w:rPr>
              <w:t>Warunek odbudowy ładu</w:t>
            </w:r>
          </w:p>
          <w:p w14:paraId="031B638B" w14:textId="77777777" w:rsidR="00843C23" w:rsidRPr="00BA4F7F" w:rsidRDefault="00000000">
            <w:pPr>
              <w:spacing w:after="0"/>
            </w:pPr>
            <w:r w:rsidRPr="00BA4F7F">
              <w:t>Wyjście z konfliktu instytucjonalnego powinno być legalne, proporcjonalne, możliwie szeroko uznane i chronić stabilność prawomocnych rozstrzygnięć. Zwycięstwo jednego ośrodka nad drugim nie jest tożsame z odbudową wspólnej podstawy działania.</w:t>
            </w:r>
          </w:p>
        </w:tc>
      </w:tr>
    </w:tbl>
    <w:p w14:paraId="7407FEE4" w14:textId="77777777" w:rsidR="00843C23" w:rsidRPr="00BA4F7F" w:rsidRDefault="00843C23">
      <w:pPr>
        <w:spacing w:after="20" w:line="259" w:lineRule="auto"/>
      </w:pPr>
    </w:p>
    <w:p w14:paraId="71CA5D9F" w14:textId="77777777" w:rsidR="00843C23" w:rsidRPr="00BA4F7F" w:rsidRDefault="00000000">
      <w:pPr>
        <w:spacing w:line="259" w:lineRule="auto"/>
      </w:pPr>
      <w:r w:rsidRPr="00BA4F7F">
        <w:t>Język raportu pozostaje celowo symetryczny. IRS nie rozstrzyga ważności konkretnego aktu ani nie zastępuje orzeczenia sądu. Ocenia zdolność systemu do wytwarzania finalnych, wykonywanych i powszechnie uznawanych decyzji. To odróżnia analizę racji stanu od partyjnej oceny bieżących działań.</w:t>
      </w:r>
    </w:p>
    <w:p w14:paraId="7B769312" w14:textId="77777777" w:rsidR="00843C23" w:rsidRPr="00BA4F7F" w:rsidRDefault="00000000">
      <w:pPr>
        <w:spacing w:line="259" w:lineRule="auto"/>
      </w:pPr>
      <w:r w:rsidRPr="00BA4F7F">
        <w:t>Odbudowa wymaga jednoczesnej pracy w czterech warstwach: domknięcia sporów ustrojowych, profesjonalizacji zarządzania wykonawczego, stabilizacji prawa gospodarczego i pełnego cyklu regulacyjnego. Poprawa jednego komponentu nie zastąpi pozostałych.</w:t>
      </w:r>
    </w:p>
    <w:p w14:paraId="0EF5128D" w14:textId="77777777" w:rsidR="00843C23" w:rsidRPr="00BA4F7F" w:rsidRDefault="00000000">
      <w:pPr>
        <w:pStyle w:val="ChapterKicker"/>
        <w:keepNext/>
        <w:keepLines/>
        <w:pageBreakBefore/>
        <w:rPr>
          <w:lang w:val="pl-PL"/>
        </w:rPr>
      </w:pPr>
      <w:r w:rsidRPr="00BA4F7F">
        <w:rPr>
          <w:lang w:val="pl-PL"/>
        </w:rPr>
        <w:lastRenderedPageBreak/>
        <w:t>ANALIZA PRZEKROJOWA</w:t>
      </w:r>
    </w:p>
    <w:p w14:paraId="6AD56C2F" w14:textId="77777777" w:rsidR="00843C23" w:rsidRPr="00BA4F7F" w:rsidRDefault="00000000">
      <w:pPr>
        <w:pStyle w:val="Nagwek1"/>
        <w:spacing w:before="0"/>
      </w:pPr>
      <w:bookmarkStart w:id="24" w:name="_Toc236400282"/>
      <w:bookmarkStart w:id="25" w:name="_Toc236400509"/>
      <w:r w:rsidRPr="00BA4F7F">
        <w:t>13. Projekty i instytucje – mechanizm strategicznej sprawczości</w:t>
      </w:r>
      <w:bookmarkEnd w:id="24"/>
      <w:bookmarkEnd w:id="25"/>
    </w:p>
    <w:p w14:paraId="18A4336C" w14:textId="77777777" w:rsidR="00843C23" w:rsidRPr="00BA4F7F" w:rsidRDefault="00000000">
      <w:pPr>
        <w:pStyle w:val="Lead"/>
        <w:keepNext/>
        <w:rPr>
          <w:lang w:val="pl-PL"/>
        </w:rPr>
      </w:pPr>
      <w:r w:rsidRPr="00BA4F7F">
        <w:rPr>
          <w:lang w:val="pl-PL"/>
        </w:rPr>
        <w:t>Projekt strategiczny tworzy realną zdolność dopiero wtedy, gdy decyzja, prawo, finansowanie, wykonanie i utrzymanie tworzą jeden łańcuch.</w:t>
      </w:r>
    </w:p>
    <w:p w14:paraId="6E5582E2" w14:textId="77777777" w:rsidR="00843C23" w:rsidRPr="00BA4F7F" w:rsidRDefault="00000000">
      <w:pPr>
        <w:spacing w:line="259" w:lineRule="auto"/>
      </w:pPr>
      <w:r w:rsidRPr="00BA4F7F">
        <w:t>W debacie publicznej projekt jest często utożsamiany z decyzją polityczną, podpisaniem umowy lub rozpoczęciem budowy. Z perspektywy IRS są to tylko ogniwa łańcucha. Wartość strategiczna powstaje dopiero wtedy, gdy efekt jest operacyjnie dostępny, zintegrowany z innymi systemami, utrzymywany i możliwy do korekty.</w:t>
      </w:r>
    </w:p>
    <w:p w14:paraId="618B1155" w14:textId="77777777" w:rsidR="00843C23" w:rsidRPr="00BA4F7F" w:rsidRDefault="00000000">
      <w:pPr>
        <w:spacing w:line="259" w:lineRule="auto"/>
      </w:pPr>
      <w:r w:rsidRPr="00BA4F7F">
        <w:t>Słabe instytucje nie zawsze natychmiast obniżają wynik projektu. Duży program może mieć odrębne finansowanie, silnego partnera zagranicznego, specjalną ustawę i wydzieloną strukturę. Taki mechanizm pozwala czasowo ominąć część problemów administracji. Jednocześnie zwiększa ryzyko wyspowości: interfejsy z siecią, kadrami, logistyką, przemysłem i regulacjami pozostają poza odpowiedzialnością jednego właściciela.</w:t>
      </w:r>
    </w:p>
    <w:p w14:paraId="2F24E630" w14:textId="77777777" w:rsidR="00843C23" w:rsidRPr="00BA4F7F" w:rsidRDefault="00000000">
      <w:pPr>
        <w:spacing w:line="259" w:lineRule="auto"/>
      </w:pPr>
      <w:r w:rsidRPr="00BA4F7F">
        <w:t xml:space="preserve">Atom jest testem zdolności do wielodekadowej ciągłości decyzji, finansowania i infrastruktury towarzyszącej. CPK jest testem transparentnego </w:t>
      </w:r>
      <w:proofErr w:type="spellStart"/>
      <w:r w:rsidRPr="00BA4F7F">
        <w:t>rebazowania</w:t>
      </w:r>
      <w:proofErr w:type="spellEnd"/>
      <w:r w:rsidRPr="00BA4F7F">
        <w:t xml:space="preserve"> i ochrony wartości już poniesionych nakładów. Sieci energetyczne są testem koordynacji tysięcy pozwoleń i inwestycji. Modernizacja obronna jest testem przejścia od kontraktacji do integracji, serwisu, zapasów i krajowej produkcji.</w:t>
      </w:r>
    </w:p>
    <w:p w14:paraId="359F8007" w14:textId="77777777" w:rsidR="00843C23" w:rsidRPr="00BA4F7F" w:rsidRDefault="00000000">
      <w:pPr>
        <w:spacing w:line="259" w:lineRule="auto"/>
      </w:pPr>
      <w:r w:rsidRPr="00BA4F7F">
        <w:t xml:space="preserve">Najważniejszą reformą nie jest utworzenie kolejnego komitetu. Potrzebne jest centrum portfelowego zarządzania państwem, które nie zastępuje ministrów i inwestorów, lecz utrzymuje wspólne standardy: definicję efektu, linię bazową, kamienie milowe, mapę interfejsów, rejestr </w:t>
      </w:r>
      <w:proofErr w:type="spellStart"/>
      <w:r w:rsidRPr="00BA4F7F">
        <w:t>ryzyk</w:t>
      </w:r>
      <w:proofErr w:type="spellEnd"/>
      <w:r w:rsidRPr="00BA4F7F">
        <w:t>, stabilność finansowania i odpowiedzialność za zmianę.</w:t>
      </w:r>
    </w:p>
    <w:tbl>
      <w:tblPr>
        <w:tblStyle w:val="Tabela-Siatka"/>
        <w:tblW w:w="0" w:type="auto"/>
        <w:jc w:val="center"/>
        <w:tblLayout w:type="fixed"/>
        <w:tblLook w:val="04A0" w:firstRow="1" w:lastRow="0" w:firstColumn="1" w:lastColumn="0" w:noHBand="0" w:noVBand="1"/>
      </w:tblPr>
      <w:tblGrid>
        <w:gridCol w:w="2016"/>
        <w:gridCol w:w="3744"/>
        <w:gridCol w:w="3456"/>
      </w:tblGrid>
      <w:tr w:rsidR="00843C23" w:rsidRPr="00BA4F7F" w14:paraId="58F07F4F" w14:textId="77777777">
        <w:trPr>
          <w:cantSplit/>
          <w:tblHeader/>
          <w:jc w:val="center"/>
        </w:trPr>
        <w:tc>
          <w:tcPr>
            <w:tcW w:w="2016" w:type="dxa"/>
            <w:shd w:val="clear" w:color="auto" w:fill="1F4E79"/>
            <w:tcMar>
              <w:top w:w="70" w:type="dxa"/>
              <w:left w:w="80" w:type="dxa"/>
              <w:bottom w:w="70" w:type="dxa"/>
              <w:right w:w="80" w:type="dxa"/>
            </w:tcMar>
            <w:vAlign w:val="center"/>
          </w:tcPr>
          <w:p w14:paraId="42FF560C" w14:textId="77777777" w:rsidR="00843C23" w:rsidRPr="00BA4F7F" w:rsidRDefault="00000000">
            <w:pPr>
              <w:jc w:val="center"/>
            </w:pPr>
            <w:r w:rsidRPr="00BA4F7F">
              <w:rPr>
                <w:b/>
                <w:color w:val="FFFFFF"/>
                <w:sz w:val="16"/>
              </w:rPr>
              <w:t>Element zarządzania</w:t>
            </w:r>
          </w:p>
        </w:tc>
        <w:tc>
          <w:tcPr>
            <w:tcW w:w="3744" w:type="dxa"/>
            <w:shd w:val="clear" w:color="auto" w:fill="1F4E79"/>
            <w:tcMar>
              <w:top w:w="70" w:type="dxa"/>
              <w:left w:w="80" w:type="dxa"/>
              <w:bottom w:w="70" w:type="dxa"/>
              <w:right w:w="80" w:type="dxa"/>
            </w:tcMar>
            <w:vAlign w:val="center"/>
          </w:tcPr>
          <w:p w14:paraId="5894EB77" w14:textId="77777777" w:rsidR="00843C23" w:rsidRPr="00BA4F7F" w:rsidRDefault="00000000">
            <w:pPr>
              <w:jc w:val="center"/>
            </w:pPr>
            <w:r w:rsidRPr="00BA4F7F">
              <w:rPr>
                <w:b/>
                <w:color w:val="FFFFFF"/>
                <w:sz w:val="16"/>
              </w:rPr>
              <w:t>Standard minimalny</w:t>
            </w:r>
          </w:p>
        </w:tc>
        <w:tc>
          <w:tcPr>
            <w:tcW w:w="3456" w:type="dxa"/>
            <w:shd w:val="clear" w:color="auto" w:fill="1F4E79"/>
            <w:tcMar>
              <w:top w:w="70" w:type="dxa"/>
              <w:left w:w="80" w:type="dxa"/>
              <w:bottom w:w="70" w:type="dxa"/>
              <w:right w:w="80" w:type="dxa"/>
            </w:tcMar>
            <w:vAlign w:val="center"/>
          </w:tcPr>
          <w:p w14:paraId="641A1DA7" w14:textId="77777777" w:rsidR="00843C23" w:rsidRPr="00BA4F7F" w:rsidRDefault="00000000">
            <w:pPr>
              <w:jc w:val="center"/>
            </w:pPr>
            <w:r w:rsidRPr="00BA4F7F">
              <w:rPr>
                <w:b/>
                <w:color w:val="FFFFFF"/>
                <w:sz w:val="16"/>
              </w:rPr>
              <w:t>Sygnał ryzyka</w:t>
            </w:r>
          </w:p>
        </w:tc>
      </w:tr>
      <w:tr w:rsidR="00843C23" w:rsidRPr="00BA4F7F" w14:paraId="21229036" w14:textId="77777777">
        <w:trPr>
          <w:cantSplit/>
          <w:jc w:val="center"/>
        </w:trPr>
        <w:tc>
          <w:tcPr>
            <w:tcW w:w="2016" w:type="dxa"/>
            <w:tcMar>
              <w:top w:w="60" w:type="dxa"/>
              <w:left w:w="70" w:type="dxa"/>
              <w:bottom w:w="60" w:type="dxa"/>
              <w:right w:w="70" w:type="dxa"/>
            </w:tcMar>
            <w:vAlign w:val="center"/>
          </w:tcPr>
          <w:p w14:paraId="1D50EC44" w14:textId="77777777" w:rsidR="00843C23" w:rsidRPr="00BA4F7F" w:rsidRDefault="00000000">
            <w:pPr>
              <w:jc w:val="left"/>
            </w:pPr>
            <w:r w:rsidRPr="00BA4F7F">
              <w:rPr>
                <w:b/>
                <w:sz w:val="15"/>
              </w:rPr>
              <w:t>Efekt strategiczny</w:t>
            </w:r>
          </w:p>
        </w:tc>
        <w:tc>
          <w:tcPr>
            <w:tcW w:w="3744" w:type="dxa"/>
            <w:tcMar>
              <w:top w:w="60" w:type="dxa"/>
              <w:left w:w="70" w:type="dxa"/>
              <w:bottom w:w="60" w:type="dxa"/>
              <w:right w:w="70" w:type="dxa"/>
            </w:tcMar>
            <w:vAlign w:val="center"/>
          </w:tcPr>
          <w:p w14:paraId="4484BC21" w14:textId="77777777" w:rsidR="00843C23" w:rsidRPr="00BA4F7F" w:rsidRDefault="00000000">
            <w:pPr>
              <w:jc w:val="center"/>
            </w:pPr>
            <w:r w:rsidRPr="00BA4F7F">
              <w:rPr>
                <w:sz w:val="15"/>
              </w:rPr>
              <w:t>Jednoznaczna funkcja operacyjna i miernik dostępności.</w:t>
            </w:r>
          </w:p>
        </w:tc>
        <w:tc>
          <w:tcPr>
            <w:tcW w:w="3456" w:type="dxa"/>
            <w:tcMar>
              <w:top w:w="60" w:type="dxa"/>
              <w:left w:w="70" w:type="dxa"/>
              <w:bottom w:w="60" w:type="dxa"/>
              <w:right w:w="70" w:type="dxa"/>
            </w:tcMar>
            <w:vAlign w:val="center"/>
          </w:tcPr>
          <w:p w14:paraId="33320625" w14:textId="77777777" w:rsidR="00843C23" w:rsidRPr="00BA4F7F" w:rsidRDefault="00000000">
            <w:pPr>
              <w:jc w:val="center"/>
            </w:pPr>
            <w:r w:rsidRPr="00BA4F7F">
              <w:rPr>
                <w:sz w:val="15"/>
              </w:rPr>
              <w:t>Cele opisane wyłącznie nakładami lub liczbą umów.</w:t>
            </w:r>
          </w:p>
        </w:tc>
      </w:tr>
      <w:tr w:rsidR="00843C23" w:rsidRPr="00BA4F7F" w14:paraId="540E065A" w14:textId="77777777">
        <w:trPr>
          <w:cantSplit/>
          <w:jc w:val="center"/>
        </w:trPr>
        <w:tc>
          <w:tcPr>
            <w:tcW w:w="2016" w:type="dxa"/>
            <w:shd w:val="clear" w:color="auto" w:fill="F7F7F7"/>
            <w:tcMar>
              <w:top w:w="60" w:type="dxa"/>
              <w:left w:w="70" w:type="dxa"/>
              <w:bottom w:w="60" w:type="dxa"/>
              <w:right w:w="70" w:type="dxa"/>
            </w:tcMar>
            <w:vAlign w:val="center"/>
          </w:tcPr>
          <w:p w14:paraId="46032821" w14:textId="77777777" w:rsidR="00843C23" w:rsidRPr="00BA4F7F" w:rsidRDefault="00000000">
            <w:pPr>
              <w:jc w:val="left"/>
            </w:pPr>
            <w:r w:rsidRPr="00BA4F7F">
              <w:rPr>
                <w:b/>
                <w:sz w:val="15"/>
              </w:rPr>
              <w:t>Linia bazowa</w:t>
            </w:r>
          </w:p>
        </w:tc>
        <w:tc>
          <w:tcPr>
            <w:tcW w:w="3744" w:type="dxa"/>
            <w:shd w:val="clear" w:color="auto" w:fill="F7F7F7"/>
            <w:tcMar>
              <w:top w:w="60" w:type="dxa"/>
              <w:left w:w="70" w:type="dxa"/>
              <w:bottom w:w="60" w:type="dxa"/>
              <w:right w:w="70" w:type="dxa"/>
            </w:tcMar>
            <w:vAlign w:val="center"/>
          </w:tcPr>
          <w:p w14:paraId="022762E4" w14:textId="77777777" w:rsidR="00843C23" w:rsidRPr="00BA4F7F" w:rsidRDefault="00000000">
            <w:pPr>
              <w:jc w:val="center"/>
            </w:pPr>
            <w:r w:rsidRPr="00BA4F7F">
              <w:rPr>
                <w:sz w:val="15"/>
              </w:rPr>
              <w:t>Harmonogram zatwierdzony wraz z założeniami i rezerwami.</w:t>
            </w:r>
          </w:p>
        </w:tc>
        <w:tc>
          <w:tcPr>
            <w:tcW w:w="3456" w:type="dxa"/>
            <w:shd w:val="clear" w:color="auto" w:fill="F7F7F7"/>
            <w:tcMar>
              <w:top w:w="60" w:type="dxa"/>
              <w:left w:w="70" w:type="dxa"/>
              <w:bottom w:w="60" w:type="dxa"/>
              <w:right w:w="70" w:type="dxa"/>
            </w:tcMar>
            <w:vAlign w:val="center"/>
          </w:tcPr>
          <w:p w14:paraId="3C0983B2" w14:textId="77777777" w:rsidR="00843C23" w:rsidRPr="00BA4F7F" w:rsidRDefault="00000000">
            <w:pPr>
              <w:jc w:val="center"/>
            </w:pPr>
            <w:r w:rsidRPr="00BA4F7F">
              <w:rPr>
                <w:sz w:val="15"/>
              </w:rPr>
              <w:t>Częste przesuwanie terminu bez rozliczenia przyczyn.</w:t>
            </w:r>
          </w:p>
        </w:tc>
      </w:tr>
      <w:tr w:rsidR="00843C23" w:rsidRPr="00BA4F7F" w14:paraId="6AB9853E" w14:textId="77777777">
        <w:trPr>
          <w:cantSplit/>
          <w:jc w:val="center"/>
        </w:trPr>
        <w:tc>
          <w:tcPr>
            <w:tcW w:w="2016" w:type="dxa"/>
            <w:tcMar>
              <w:top w:w="60" w:type="dxa"/>
              <w:left w:w="70" w:type="dxa"/>
              <w:bottom w:w="60" w:type="dxa"/>
              <w:right w:w="70" w:type="dxa"/>
            </w:tcMar>
            <w:vAlign w:val="center"/>
          </w:tcPr>
          <w:p w14:paraId="39168E80" w14:textId="77777777" w:rsidR="00843C23" w:rsidRPr="00BA4F7F" w:rsidRDefault="00000000">
            <w:pPr>
              <w:jc w:val="left"/>
            </w:pPr>
            <w:r w:rsidRPr="00BA4F7F">
              <w:rPr>
                <w:b/>
                <w:sz w:val="15"/>
              </w:rPr>
              <w:t>Zakres i interfejsy</w:t>
            </w:r>
          </w:p>
        </w:tc>
        <w:tc>
          <w:tcPr>
            <w:tcW w:w="3744" w:type="dxa"/>
            <w:tcMar>
              <w:top w:w="60" w:type="dxa"/>
              <w:left w:w="70" w:type="dxa"/>
              <w:bottom w:w="60" w:type="dxa"/>
              <w:right w:w="70" w:type="dxa"/>
            </w:tcMar>
            <w:vAlign w:val="center"/>
          </w:tcPr>
          <w:p w14:paraId="31659C3E" w14:textId="77777777" w:rsidR="00843C23" w:rsidRPr="00BA4F7F" w:rsidRDefault="00000000">
            <w:pPr>
              <w:jc w:val="center"/>
            </w:pPr>
            <w:r w:rsidRPr="00BA4F7F">
              <w:rPr>
                <w:sz w:val="15"/>
              </w:rPr>
              <w:t>Mapa zależności od sieci, kadr, prawa i infrastruktury.</w:t>
            </w:r>
          </w:p>
        </w:tc>
        <w:tc>
          <w:tcPr>
            <w:tcW w:w="3456" w:type="dxa"/>
            <w:tcMar>
              <w:top w:w="60" w:type="dxa"/>
              <w:left w:w="70" w:type="dxa"/>
              <w:bottom w:w="60" w:type="dxa"/>
              <w:right w:w="70" w:type="dxa"/>
            </w:tcMar>
            <w:vAlign w:val="center"/>
          </w:tcPr>
          <w:p w14:paraId="2227C4E7" w14:textId="77777777" w:rsidR="00843C23" w:rsidRPr="00BA4F7F" w:rsidRDefault="00000000">
            <w:pPr>
              <w:jc w:val="center"/>
            </w:pPr>
            <w:r w:rsidRPr="00BA4F7F">
              <w:rPr>
                <w:sz w:val="15"/>
              </w:rPr>
              <w:t>Dostarczanie odcinków bez pełnego korytarza lub zdolności.</w:t>
            </w:r>
          </w:p>
        </w:tc>
      </w:tr>
      <w:tr w:rsidR="00843C23" w:rsidRPr="00BA4F7F" w14:paraId="30542A6B" w14:textId="77777777">
        <w:trPr>
          <w:cantSplit/>
          <w:jc w:val="center"/>
        </w:trPr>
        <w:tc>
          <w:tcPr>
            <w:tcW w:w="2016" w:type="dxa"/>
            <w:shd w:val="clear" w:color="auto" w:fill="F7F7F7"/>
            <w:tcMar>
              <w:top w:w="60" w:type="dxa"/>
              <w:left w:w="70" w:type="dxa"/>
              <w:bottom w:w="60" w:type="dxa"/>
              <w:right w:w="70" w:type="dxa"/>
            </w:tcMar>
            <w:vAlign w:val="center"/>
          </w:tcPr>
          <w:p w14:paraId="6A39859F" w14:textId="77777777" w:rsidR="00843C23" w:rsidRPr="00BA4F7F" w:rsidRDefault="00000000">
            <w:pPr>
              <w:jc w:val="left"/>
            </w:pPr>
            <w:r w:rsidRPr="00BA4F7F">
              <w:rPr>
                <w:b/>
                <w:sz w:val="15"/>
              </w:rPr>
              <w:t>Finansowanie</w:t>
            </w:r>
          </w:p>
        </w:tc>
        <w:tc>
          <w:tcPr>
            <w:tcW w:w="3744" w:type="dxa"/>
            <w:shd w:val="clear" w:color="auto" w:fill="F7F7F7"/>
            <w:tcMar>
              <w:top w:w="60" w:type="dxa"/>
              <w:left w:w="70" w:type="dxa"/>
              <w:bottom w:w="60" w:type="dxa"/>
              <w:right w:w="70" w:type="dxa"/>
            </w:tcMar>
            <w:vAlign w:val="center"/>
          </w:tcPr>
          <w:p w14:paraId="3BC80665" w14:textId="77777777" w:rsidR="00843C23" w:rsidRPr="00BA4F7F" w:rsidRDefault="00000000">
            <w:pPr>
              <w:jc w:val="center"/>
            </w:pPr>
            <w:r w:rsidRPr="00BA4F7F">
              <w:rPr>
                <w:sz w:val="15"/>
              </w:rPr>
              <w:t>Wieloletni plan oraz warunki decyzji stop/go.</w:t>
            </w:r>
          </w:p>
        </w:tc>
        <w:tc>
          <w:tcPr>
            <w:tcW w:w="3456" w:type="dxa"/>
            <w:shd w:val="clear" w:color="auto" w:fill="F7F7F7"/>
            <w:tcMar>
              <w:top w:w="60" w:type="dxa"/>
              <w:left w:w="70" w:type="dxa"/>
              <w:bottom w:w="60" w:type="dxa"/>
              <w:right w:w="70" w:type="dxa"/>
            </w:tcMar>
            <w:vAlign w:val="center"/>
          </w:tcPr>
          <w:p w14:paraId="03AA1E2C" w14:textId="77777777" w:rsidR="00843C23" w:rsidRPr="00BA4F7F" w:rsidRDefault="00000000">
            <w:pPr>
              <w:jc w:val="center"/>
            </w:pPr>
            <w:r w:rsidRPr="00BA4F7F">
              <w:rPr>
                <w:sz w:val="15"/>
              </w:rPr>
              <w:t xml:space="preserve">Koszt rośnie bez aktualizacji business </w:t>
            </w:r>
            <w:proofErr w:type="spellStart"/>
            <w:r w:rsidRPr="00BA4F7F">
              <w:rPr>
                <w:sz w:val="15"/>
              </w:rPr>
              <w:t>case</w:t>
            </w:r>
            <w:proofErr w:type="spellEnd"/>
            <w:r w:rsidRPr="00BA4F7F">
              <w:rPr>
                <w:sz w:val="15"/>
              </w:rPr>
              <w:t>.</w:t>
            </w:r>
          </w:p>
        </w:tc>
      </w:tr>
      <w:tr w:rsidR="00843C23" w:rsidRPr="00BA4F7F" w14:paraId="7FA81558" w14:textId="77777777">
        <w:trPr>
          <w:cantSplit/>
          <w:jc w:val="center"/>
        </w:trPr>
        <w:tc>
          <w:tcPr>
            <w:tcW w:w="2016" w:type="dxa"/>
            <w:tcMar>
              <w:top w:w="60" w:type="dxa"/>
              <w:left w:w="70" w:type="dxa"/>
              <w:bottom w:w="60" w:type="dxa"/>
              <w:right w:w="70" w:type="dxa"/>
            </w:tcMar>
            <w:vAlign w:val="center"/>
          </w:tcPr>
          <w:p w14:paraId="27EC19B3" w14:textId="77777777" w:rsidR="00843C23" w:rsidRPr="00BA4F7F" w:rsidRDefault="00000000">
            <w:pPr>
              <w:jc w:val="left"/>
            </w:pPr>
            <w:r w:rsidRPr="00BA4F7F">
              <w:rPr>
                <w:b/>
                <w:sz w:val="15"/>
              </w:rPr>
              <w:t>Właściciel</w:t>
            </w:r>
          </w:p>
        </w:tc>
        <w:tc>
          <w:tcPr>
            <w:tcW w:w="3744" w:type="dxa"/>
            <w:tcMar>
              <w:top w:w="60" w:type="dxa"/>
              <w:left w:w="70" w:type="dxa"/>
              <w:bottom w:w="60" w:type="dxa"/>
              <w:right w:w="70" w:type="dxa"/>
            </w:tcMar>
            <w:vAlign w:val="center"/>
          </w:tcPr>
          <w:p w14:paraId="27A29ECD" w14:textId="77777777" w:rsidR="00843C23" w:rsidRPr="00BA4F7F" w:rsidRDefault="00000000">
            <w:pPr>
              <w:jc w:val="center"/>
            </w:pPr>
            <w:r w:rsidRPr="00BA4F7F">
              <w:rPr>
                <w:sz w:val="15"/>
              </w:rPr>
              <w:t>Odpowiedzialność za pełny efekt, nie tylko fragment.</w:t>
            </w:r>
          </w:p>
        </w:tc>
        <w:tc>
          <w:tcPr>
            <w:tcW w:w="3456" w:type="dxa"/>
            <w:tcMar>
              <w:top w:w="60" w:type="dxa"/>
              <w:left w:w="70" w:type="dxa"/>
              <w:bottom w:w="60" w:type="dxa"/>
              <w:right w:w="70" w:type="dxa"/>
            </w:tcMar>
            <w:vAlign w:val="center"/>
          </w:tcPr>
          <w:p w14:paraId="24B2EFD9" w14:textId="77777777" w:rsidR="00843C23" w:rsidRPr="00BA4F7F" w:rsidRDefault="00000000">
            <w:pPr>
              <w:jc w:val="center"/>
            </w:pPr>
            <w:r w:rsidRPr="00BA4F7F">
              <w:rPr>
                <w:sz w:val="15"/>
              </w:rPr>
              <w:t>Rozproszona odpowiedzialność i brak decyzji integracyjnych.</w:t>
            </w:r>
          </w:p>
        </w:tc>
      </w:tr>
      <w:tr w:rsidR="00843C23" w:rsidRPr="00BA4F7F" w14:paraId="66A5EE82" w14:textId="77777777">
        <w:trPr>
          <w:cantSplit/>
          <w:jc w:val="center"/>
        </w:trPr>
        <w:tc>
          <w:tcPr>
            <w:tcW w:w="2016" w:type="dxa"/>
            <w:shd w:val="clear" w:color="auto" w:fill="F7F7F7"/>
            <w:tcMar>
              <w:top w:w="60" w:type="dxa"/>
              <w:left w:w="70" w:type="dxa"/>
              <w:bottom w:w="60" w:type="dxa"/>
              <w:right w:w="70" w:type="dxa"/>
            </w:tcMar>
            <w:vAlign w:val="center"/>
          </w:tcPr>
          <w:p w14:paraId="6E47D60A" w14:textId="77777777" w:rsidR="00843C23" w:rsidRPr="00BA4F7F" w:rsidRDefault="00000000">
            <w:pPr>
              <w:jc w:val="left"/>
            </w:pPr>
            <w:r w:rsidRPr="00BA4F7F">
              <w:rPr>
                <w:b/>
                <w:sz w:val="15"/>
              </w:rPr>
              <w:t>Kontrola i korekta</w:t>
            </w:r>
          </w:p>
        </w:tc>
        <w:tc>
          <w:tcPr>
            <w:tcW w:w="3744" w:type="dxa"/>
            <w:shd w:val="clear" w:color="auto" w:fill="F7F7F7"/>
            <w:tcMar>
              <w:top w:w="60" w:type="dxa"/>
              <w:left w:w="70" w:type="dxa"/>
              <w:bottom w:w="60" w:type="dxa"/>
              <w:right w:w="70" w:type="dxa"/>
            </w:tcMar>
            <w:vAlign w:val="center"/>
          </w:tcPr>
          <w:p w14:paraId="54EB2E40" w14:textId="77777777" w:rsidR="00843C23" w:rsidRPr="00BA4F7F" w:rsidRDefault="00000000">
            <w:pPr>
              <w:jc w:val="center"/>
            </w:pPr>
            <w:r w:rsidRPr="00BA4F7F">
              <w:rPr>
                <w:sz w:val="15"/>
              </w:rPr>
              <w:t>Jawny monitoring, audyt i ewaluacja ex post.</w:t>
            </w:r>
          </w:p>
        </w:tc>
        <w:tc>
          <w:tcPr>
            <w:tcW w:w="3456" w:type="dxa"/>
            <w:shd w:val="clear" w:color="auto" w:fill="F7F7F7"/>
            <w:tcMar>
              <w:top w:w="60" w:type="dxa"/>
              <w:left w:w="70" w:type="dxa"/>
              <w:bottom w:w="60" w:type="dxa"/>
              <w:right w:w="70" w:type="dxa"/>
            </w:tcMar>
            <w:vAlign w:val="center"/>
          </w:tcPr>
          <w:p w14:paraId="5D5A2763" w14:textId="77777777" w:rsidR="00843C23" w:rsidRPr="00BA4F7F" w:rsidRDefault="00000000">
            <w:pPr>
              <w:jc w:val="center"/>
            </w:pPr>
            <w:r w:rsidRPr="00BA4F7F">
              <w:rPr>
                <w:sz w:val="15"/>
              </w:rPr>
              <w:t>Raportowanie aktywności bez pomiaru rezultatu.</w:t>
            </w:r>
          </w:p>
        </w:tc>
      </w:tr>
    </w:tbl>
    <w:p w14:paraId="06BBE080" w14:textId="77777777" w:rsidR="00843C23" w:rsidRPr="00BA4F7F" w:rsidRDefault="00843C23">
      <w:pPr>
        <w:spacing w:after="20" w:line="259" w:lineRule="auto"/>
      </w:pPr>
    </w:p>
    <w:p w14:paraId="70A037DC" w14:textId="77777777" w:rsidR="00843C23" w:rsidRPr="00BA4F7F" w:rsidRDefault="00000000">
      <w:pPr>
        <w:spacing w:line="259" w:lineRule="auto"/>
      </w:pPr>
      <w:r w:rsidRPr="00BA4F7F">
        <w:br w:type="page"/>
      </w:r>
    </w:p>
    <w:p w14:paraId="4D8BD6F3" w14:textId="77777777" w:rsidR="00843C23" w:rsidRPr="00BA4F7F" w:rsidRDefault="00000000">
      <w:pPr>
        <w:pStyle w:val="ChapterKicker"/>
        <w:keepNext/>
        <w:keepLines/>
        <w:rPr>
          <w:lang w:val="pl-PL"/>
        </w:rPr>
      </w:pPr>
      <w:r w:rsidRPr="00BA4F7F">
        <w:rPr>
          <w:lang w:val="pl-PL"/>
        </w:rPr>
        <w:lastRenderedPageBreak/>
        <w:t>CZĘŚĆ III</w:t>
      </w:r>
    </w:p>
    <w:p w14:paraId="08C21501" w14:textId="77777777" w:rsidR="00843C23" w:rsidRPr="00BA4F7F" w:rsidRDefault="00000000">
      <w:pPr>
        <w:pStyle w:val="Nagwek1"/>
        <w:spacing w:before="0"/>
      </w:pPr>
      <w:bookmarkStart w:id="26" w:name="_Toc236400283"/>
      <w:bookmarkStart w:id="27" w:name="_Toc236400510"/>
      <w:r w:rsidRPr="00BA4F7F">
        <w:t xml:space="preserve">14. Mapa dwudziestu </w:t>
      </w:r>
      <w:proofErr w:type="spellStart"/>
      <w:r w:rsidRPr="00BA4F7F">
        <w:t>subobszarów</w:t>
      </w:r>
      <w:proofErr w:type="spellEnd"/>
      <w:r w:rsidRPr="00BA4F7F">
        <w:t xml:space="preserve"> IRS</w:t>
      </w:r>
      <w:bookmarkEnd w:id="26"/>
      <w:bookmarkEnd w:id="27"/>
    </w:p>
    <w:p w14:paraId="18AC69FC" w14:textId="77777777" w:rsidR="00843C23" w:rsidRPr="00BA4F7F" w:rsidRDefault="00000000">
      <w:pPr>
        <w:pStyle w:val="Lead"/>
        <w:keepNext/>
        <w:rPr>
          <w:lang w:val="pl-PL"/>
        </w:rPr>
      </w:pPr>
      <w:r w:rsidRPr="00BA4F7F">
        <w:rPr>
          <w:lang w:val="pl-PL"/>
        </w:rPr>
        <w:t>Pełny obraz państwa ujawnia jednocześnie wyspy wysokiej skuteczności i komponenty, których poziom jest krytyczny.</w:t>
      </w:r>
    </w:p>
    <w:p w14:paraId="296A98E1" w14:textId="77777777" w:rsidR="00843C23" w:rsidRPr="00BA4F7F" w:rsidRDefault="00000000">
      <w:pPr>
        <w:keepNext/>
        <w:keepLines/>
        <w:spacing w:before="80" w:after="60" w:line="259" w:lineRule="auto"/>
        <w:jc w:val="center"/>
      </w:pPr>
      <w:r w:rsidRPr="00BA4F7F">
        <w:rPr>
          <w:noProof/>
        </w:rPr>
        <w:drawing>
          <wp:inline distT="0" distB="0" distL="0" distR="0" wp14:anchorId="7C9D127E" wp14:editId="30DB6FE0">
            <wp:extent cx="5897880" cy="3179988"/>
            <wp:effectExtent l="0" t="0" r="0" b="0"/>
            <wp:docPr id="22" name="Picture 22" descr="Wykres 18. Największe poprawy i pogorszenia wśród subobszarów." title="Wykre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_najwieksze_zmiany.png"/>
                    <pic:cNvPicPr/>
                  </pic:nvPicPr>
                  <pic:blipFill>
                    <a:blip r:embed="rId24"/>
                    <a:stretch>
                      <a:fillRect/>
                    </a:stretch>
                  </pic:blipFill>
                  <pic:spPr>
                    <a:xfrm>
                      <a:off x="0" y="0"/>
                      <a:ext cx="5897880" cy="3179988"/>
                    </a:xfrm>
                    <a:prstGeom prst="rect">
                      <a:avLst/>
                    </a:prstGeom>
                  </pic:spPr>
                </pic:pic>
              </a:graphicData>
            </a:graphic>
          </wp:inline>
        </w:drawing>
      </w:r>
    </w:p>
    <w:p w14:paraId="7977A948" w14:textId="77777777" w:rsidR="00843C23" w:rsidRPr="00BA4F7F" w:rsidRDefault="00000000">
      <w:pPr>
        <w:pStyle w:val="Legenda"/>
        <w:keepNext/>
        <w:keepLines/>
        <w:jc w:val="center"/>
      </w:pPr>
      <w:r w:rsidRPr="00BA4F7F">
        <w:t xml:space="preserve">Wykres 16. Największe poprawy i pogorszenia wśród </w:t>
      </w:r>
      <w:proofErr w:type="spellStart"/>
      <w:r w:rsidRPr="00BA4F7F">
        <w:t>subobszarów</w:t>
      </w:r>
      <w:proofErr w:type="spellEnd"/>
      <w:r w:rsidRPr="00BA4F7F">
        <w:t>.</w:t>
      </w:r>
    </w:p>
    <w:p w14:paraId="7EA61C2C" w14:textId="77777777" w:rsidR="00181CD9" w:rsidRDefault="00181CD9">
      <w:pPr>
        <w:spacing w:line="259" w:lineRule="auto"/>
      </w:pPr>
    </w:p>
    <w:p w14:paraId="4593CF47" w14:textId="77777777" w:rsidR="00843C23" w:rsidRPr="00BA4F7F" w:rsidRDefault="00000000">
      <w:pPr>
        <w:spacing w:line="259" w:lineRule="auto"/>
      </w:pPr>
      <w:r w:rsidRPr="00BA4F7F">
        <w:t>Największe wzrosty dotyczą rynku pracy, zdolności obronnych, inwestycji względem pandemicznej bazy 2020 r., dochodów i warunków życia oraz odporności cywilnej. Wzrost inwestycji należy interpretować ostrożnie: punkt startowy był wyjątkowo niski, a wynik 2025 r. nadal wynosi tylko 50,0 pkt.</w:t>
      </w:r>
    </w:p>
    <w:p w14:paraId="5283A40B" w14:textId="77777777" w:rsidR="00843C23" w:rsidRPr="00BA4F7F" w:rsidRDefault="00000000">
      <w:pPr>
        <w:spacing w:line="259" w:lineRule="auto"/>
      </w:pPr>
      <w:r w:rsidRPr="00BA4F7F">
        <w:t>Największe spadki dotyczą dzietności, ciągłości konstytucyjnej, sprawności instytucjonalnej, stanu i struktury ludności, integracji i kapitału społecznego oraz zmian regulacyjnych. Wspólną cechą jest to, że są to zdolności powstające wolno i wymagające zaufania, koordynacji lub długiego horyzontu. Państwo łatwiej zwiększa nakład niż odbudowuje relację, regułę lub strukturę ludności.</w:t>
      </w:r>
    </w:p>
    <w:tbl>
      <w:tblPr>
        <w:tblStyle w:val="Tabela-Siatka"/>
        <w:tblW w:w="0" w:type="auto"/>
        <w:jc w:val="center"/>
        <w:tblLayout w:type="fixed"/>
        <w:tblLook w:val="04A0" w:firstRow="1" w:lastRow="0" w:firstColumn="1" w:lastColumn="0" w:noHBand="0" w:noVBand="1"/>
      </w:tblPr>
      <w:tblGrid>
        <w:gridCol w:w="4320"/>
        <w:gridCol w:w="1008"/>
        <w:gridCol w:w="1728"/>
        <w:gridCol w:w="2304"/>
      </w:tblGrid>
      <w:tr w:rsidR="00843C23" w:rsidRPr="00BA4F7F" w14:paraId="23FD8AB4" w14:textId="77777777">
        <w:trPr>
          <w:cantSplit/>
          <w:tblHeader/>
          <w:jc w:val="center"/>
        </w:trPr>
        <w:tc>
          <w:tcPr>
            <w:tcW w:w="4320" w:type="dxa"/>
            <w:shd w:val="clear" w:color="auto" w:fill="1F4E79"/>
            <w:tcMar>
              <w:top w:w="70" w:type="dxa"/>
              <w:left w:w="80" w:type="dxa"/>
              <w:bottom w:w="70" w:type="dxa"/>
              <w:right w:w="80" w:type="dxa"/>
            </w:tcMar>
            <w:vAlign w:val="center"/>
          </w:tcPr>
          <w:p w14:paraId="1F391E41" w14:textId="77777777" w:rsidR="00843C23" w:rsidRPr="00BA4F7F" w:rsidRDefault="00000000">
            <w:pPr>
              <w:jc w:val="center"/>
            </w:pPr>
            <w:proofErr w:type="spellStart"/>
            <w:r w:rsidRPr="00BA4F7F">
              <w:rPr>
                <w:b/>
                <w:color w:val="FFFFFF"/>
                <w:sz w:val="16"/>
              </w:rPr>
              <w:t>Subobszar</w:t>
            </w:r>
            <w:proofErr w:type="spellEnd"/>
          </w:p>
        </w:tc>
        <w:tc>
          <w:tcPr>
            <w:tcW w:w="1008" w:type="dxa"/>
            <w:shd w:val="clear" w:color="auto" w:fill="1F4E79"/>
            <w:tcMar>
              <w:top w:w="70" w:type="dxa"/>
              <w:left w:w="80" w:type="dxa"/>
              <w:bottom w:w="70" w:type="dxa"/>
              <w:right w:w="80" w:type="dxa"/>
            </w:tcMar>
            <w:vAlign w:val="center"/>
          </w:tcPr>
          <w:p w14:paraId="6D4A586F" w14:textId="77777777" w:rsidR="00843C23" w:rsidRPr="00BA4F7F" w:rsidRDefault="00000000">
            <w:pPr>
              <w:jc w:val="center"/>
            </w:pPr>
            <w:r w:rsidRPr="00BA4F7F">
              <w:rPr>
                <w:b/>
                <w:color w:val="FFFFFF"/>
                <w:sz w:val="16"/>
              </w:rPr>
              <w:t>2025</w:t>
            </w:r>
          </w:p>
        </w:tc>
        <w:tc>
          <w:tcPr>
            <w:tcW w:w="1728" w:type="dxa"/>
            <w:shd w:val="clear" w:color="auto" w:fill="1F4E79"/>
            <w:tcMar>
              <w:top w:w="70" w:type="dxa"/>
              <w:left w:w="80" w:type="dxa"/>
              <w:bottom w:w="70" w:type="dxa"/>
              <w:right w:w="80" w:type="dxa"/>
            </w:tcMar>
            <w:vAlign w:val="center"/>
          </w:tcPr>
          <w:p w14:paraId="582F9CB3" w14:textId="77777777" w:rsidR="00843C23" w:rsidRPr="00BA4F7F" w:rsidRDefault="00000000">
            <w:pPr>
              <w:jc w:val="center"/>
            </w:pPr>
            <w:r w:rsidRPr="00BA4F7F">
              <w:rPr>
                <w:b/>
                <w:color w:val="FFFFFF"/>
                <w:sz w:val="16"/>
              </w:rPr>
              <w:t>Zmiana 2020–2025</w:t>
            </w:r>
          </w:p>
        </w:tc>
        <w:tc>
          <w:tcPr>
            <w:tcW w:w="2304" w:type="dxa"/>
            <w:shd w:val="clear" w:color="auto" w:fill="1F4E79"/>
            <w:tcMar>
              <w:top w:w="70" w:type="dxa"/>
              <w:left w:w="80" w:type="dxa"/>
              <w:bottom w:w="70" w:type="dxa"/>
              <w:right w:w="80" w:type="dxa"/>
            </w:tcMar>
            <w:vAlign w:val="center"/>
          </w:tcPr>
          <w:p w14:paraId="359B5AF7" w14:textId="77777777" w:rsidR="00843C23" w:rsidRPr="00BA4F7F" w:rsidRDefault="00000000">
            <w:pPr>
              <w:jc w:val="center"/>
            </w:pPr>
            <w:r w:rsidRPr="00BA4F7F">
              <w:rPr>
                <w:b/>
                <w:color w:val="FFFFFF"/>
                <w:sz w:val="16"/>
              </w:rPr>
              <w:t>Ocena</w:t>
            </w:r>
          </w:p>
        </w:tc>
      </w:tr>
      <w:tr w:rsidR="00843C23" w:rsidRPr="00BA4F7F" w14:paraId="29CE1A67" w14:textId="77777777">
        <w:trPr>
          <w:cantSplit/>
          <w:jc w:val="center"/>
        </w:trPr>
        <w:tc>
          <w:tcPr>
            <w:tcW w:w="4320" w:type="dxa"/>
            <w:tcMar>
              <w:top w:w="60" w:type="dxa"/>
              <w:left w:w="70" w:type="dxa"/>
              <w:bottom w:w="60" w:type="dxa"/>
              <w:right w:w="70" w:type="dxa"/>
            </w:tcMar>
            <w:vAlign w:val="center"/>
          </w:tcPr>
          <w:p w14:paraId="50BECE1E" w14:textId="77777777" w:rsidR="00843C23" w:rsidRPr="00BA4F7F" w:rsidRDefault="00000000">
            <w:pPr>
              <w:jc w:val="left"/>
            </w:pPr>
            <w:r w:rsidRPr="00BA4F7F">
              <w:rPr>
                <w:b/>
                <w:sz w:val="15"/>
              </w:rPr>
              <w:t>Modernizacja obronna i przemysł obronny</w:t>
            </w:r>
          </w:p>
        </w:tc>
        <w:tc>
          <w:tcPr>
            <w:tcW w:w="1008" w:type="dxa"/>
            <w:tcMar>
              <w:top w:w="60" w:type="dxa"/>
              <w:left w:w="70" w:type="dxa"/>
              <w:bottom w:w="60" w:type="dxa"/>
              <w:right w:w="70" w:type="dxa"/>
            </w:tcMar>
            <w:vAlign w:val="center"/>
          </w:tcPr>
          <w:p w14:paraId="42F62D9D" w14:textId="77777777" w:rsidR="00843C23" w:rsidRPr="00BA4F7F" w:rsidRDefault="00000000">
            <w:pPr>
              <w:jc w:val="center"/>
            </w:pPr>
            <w:r w:rsidRPr="00BA4F7F">
              <w:rPr>
                <w:sz w:val="15"/>
              </w:rPr>
              <w:t>88,1</w:t>
            </w:r>
          </w:p>
        </w:tc>
        <w:tc>
          <w:tcPr>
            <w:tcW w:w="1728" w:type="dxa"/>
            <w:tcMar>
              <w:top w:w="60" w:type="dxa"/>
              <w:left w:w="70" w:type="dxa"/>
              <w:bottom w:w="60" w:type="dxa"/>
              <w:right w:w="70" w:type="dxa"/>
            </w:tcMar>
            <w:vAlign w:val="center"/>
          </w:tcPr>
          <w:p w14:paraId="7940BC45" w14:textId="77777777" w:rsidR="00843C23" w:rsidRPr="00BA4F7F" w:rsidRDefault="00000000">
            <w:pPr>
              <w:jc w:val="center"/>
            </w:pPr>
            <w:r w:rsidRPr="00BA4F7F">
              <w:rPr>
                <w:sz w:val="15"/>
              </w:rPr>
              <w:t>+5,6</w:t>
            </w:r>
          </w:p>
        </w:tc>
        <w:tc>
          <w:tcPr>
            <w:tcW w:w="2304" w:type="dxa"/>
            <w:tcMar>
              <w:top w:w="60" w:type="dxa"/>
              <w:left w:w="70" w:type="dxa"/>
              <w:bottom w:w="60" w:type="dxa"/>
              <w:right w:w="70" w:type="dxa"/>
            </w:tcMar>
            <w:vAlign w:val="center"/>
          </w:tcPr>
          <w:p w14:paraId="438393E9" w14:textId="77777777" w:rsidR="00843C23" w:rsidRPr="00BA4F7F" w:rsidRDefault="00000000">
            <w:pPr>
              <w:jc w:val="center"/>
            </w:pPr>
            <w:r w:rsidRPr="00BA4F7F">
              <w:rPr>
                <w:sz w:val="15"/>
              </w:rPr>
              <w:t>wysoka odporność / silna zdolność</w:t>
            </w:r>
          </w:p>
        </w:tc>
      </w:tr>
      <w:tr w:rsidR="00843C23" w:rsidRPr="00BA4F7F" w14:paraId="085DB036" w14:textId="77777777">
        <w:trPr>
          <w:cantSplit/>
          <w:jc w:val="center"/>
        </w:trPr>
        <w:tc>
          <w:tcPr>
            <w:tcW w:w="4320" w:type="dxa"/>
            <w:shd w:val="clear" w:color="auto" w:fill="F7F7F7"/>
            <w:tcMar>
              <w:top w:w="60" w:type="dxa"/>
              <w:left w:w="70" w:type="dxa"/>
              <w:bottom w:w="60" w:type="dxa"/>
              <w:right w:w="70" w:type="dxa"/>
            </w:tcMar>
            <w:vAlign w:val="center"/>
          </w:tcPr>
          <w:p w14:paraId="62D7A334" w14:textId="77777777" w:rsidR="00843C23" w:rsidRPr="00BA4F7F" w:rsidRDefault="00000000">
            <w:pPr>
              <w:jc w:val="left"/>
            </w:pPr>
            <w:r w:rsidRPr="00BA4F7F">
              <w:rPr>
                <w:b/>
                <w:sz w:val="15"/>
              </w:rPr>
              <w:t>Rynek pracy</w:t>
            </w:r>
          </w:p>
        </w:tc>
        <w:tc>
          <w:tcPr>
            <w:tcW w:w="1008" w:type="dxa"/>
            <w:shd w:val="clear" w:color="auto" w:fill="F7F7F7"/>
            <w:tcMar>
              <w:top w:w="60" w:type="dxa"/>
              <w:left w:w="70" w:type="dxa"/>
              <w:bottom w:w="60" w:type="dxa"/>
              <w:right w:w="70" w:type="dxa"/>
            </w:tcMar>
            <w:vAlign w:val="center"/>
          </w:tcPr>
          <w:p w14:paraId="059CEE2A" w14:textId="77777777" w:rsidR="00843C23" w:rsidRPr="00BA4F7F" w:rsidRDefault="00000000">
            <w:pPr>
              <w:jc w:val="center"/>
            </w:pPr>
            <w:r w:rsidRPr="00BA4F7F">
              <w:rPr>
                <w:sz w:val="15"/>
              </w:rPr>
              <w:t>88,0</w:t>
            </w:r>
          </w:p>
        </w:tc>
        <w:tc>
          <w:tcPr>
            <w:tcW w:w="1728" w:type="dxa"/>
            <w:shd w:val="clear" w:color="auto" w:fill="F7F7F7"/>
            <w:tcMar>
              <w:top w:w="60" w:type="dxa"/>
              <w:left w:w="70" w:type="dxa"/>
              <w:bottom w:w="60" w:type="dxa"/>
              <w:right w:w="70" w:type="dxa"/>
            </w:tcMar>
            <w:vAlign w:val="center"/>
          </w:tcPr>
          <w:p w14:paraId="706986CA" w14:textId="77777777" w:rsidR="00843C23" w:rsidRPr="00BA4F7F" w:rsidRDefault="00000000">
            <w:pPr>
              <w:jc w:val="center"/>
            </w:pPr>
            <w:r w:rsidRPr="00BA4F7F">
              <w:rPr>
                <w:sz w:val="15"/>
              </w:rPr>
              <w:t>+30,9</w:t>
            </w:r>
          </w:p>
        </w:tc>
        <w:tc>
          <w:tcPr>
            <w:tcW w:w="2304" w:type="dxa"/>
            <w:shd w:val="clear" w:color="auto" w:fill="F7F7F7"/>
            <w:tcMar>
              <w:top w:w="60" w:type="dxa"/>
              <w:left w:w="70" w:type="dxa"/>
              <w:bottom w:w="60" w:type="dxa"/>
              <w:right w:w="70" w:type="dxa"/>
            </w:tcMar>
            <w:vAlign w:val="center"/>
          </w:tcPr>
          <w:p w14:paraId="1B64E2CE" w14:textId="77777777" w:rsidR="00843C23" w:rsidRPr="00BA4F7F" w:rsidRDefault="00000000">
            <w:pPr>
              <w:jc w:val="center"/>
            </w:pPr>
            <w:r w:rsidRPr="00BA4F7F">
              <w:rPr>
                <w:sz w:val="15"/>
              </w:rPr>
              <w:t>wysoka odporność / silna zdolność</w:t>
            </w:r>
          </w:p>
        </w:tc>
      </w:tr>
      <w:tr w:rsidR="00843C23" w:rsidRPr="00BA4F7F" w14:paraId="09C4D235" w14:textId="77777777">
        <w:trPr>
          <w:cantSplit/>
          <w:jc w:val="center"/>
        </w:trPr>
        <w:tc>
          <w:tcPr>
            <w:tcW w:w="4320" w:type="dxa"/>
            <w:tcMar>
              <w:top w:w="60" w:type="dxa"/>
              <w:left w:w="70" w:type="dxa"/>
              <w:bottom w:w="60" w:type="dxa"/>
              <w:right w:w="70" w:type="dxa"/>
            </w:tcMar>
            <w:vAlign w:val="center"/>
          </w:tcPr>
          <w:p w14:paraId="0D3DC403" w14:textId="77777777" w:rsidR="00843C23" w:rsidRPr="00BA4F7F" w:rsidRDefault="00000000">
            <w:pPr>
              <w:jc w:val="left"/>
            </w:pPr>
            <w:r w:rsidRPr="00BA4F7F">
              <w:rPr>
                <w:b/>
                <w:sz w:val="15"/>
              </w:rPr>
              <w:t>Zdolności obronne państwa</w:t>
            </w:r>
          </w:p>
        </w:tc>
        <w:tc>
          <w:tcPr>
            <w:tcW w:w="1008" w:type="dxa"/>
            <w:tcMar>
              <w:top w:w="60" w:type="dxa"/>
              <w:left w:w="70" w:type="dxa"/>
              <w:bottom w:w="60" w:type="dxa"/>
              <w:right w:w="70" w:type="dxa"/>
            </w:tcMar>
            <w:vAlign w:val="center"/>
          </w:tcPr>
          <w:p w14:paraId="15956A01" w14:textId="77777777" w:rsidR="00843C23" w:rsidRPr="00BA4F7F" w:rsidRDefault="00000000">
            <w:pPr>
              <w:jc w:val="center"/>
            </w:pPr>
            <w:r w:rsidRPr="00BA4F7F">
              <w:rPr>
                <w:sz w:val="15"/>
              </w:rPr>
              <w:t>86,8</w:t>
            </w:r>
          </w:p>
        </w:tc>
        <w:tc>
          <w:tcPr>
            <w:tcW w:w="1728" w:type="dxa"/>
            <w:tcMar>
              <w:top w:w="60" w:type="dxa"/>
              <w:left w:w="70" w:type="dxa"/>
              <w:bottom w:w="60" w:type="dxa"/>
              <w:right w:w="70" w:type="dxa"/>
            </w:tcMar>
            <w:vAlign w:val="center"/>
          </w:tcPr>
          <w:p w14:paraId="201063B5" w14:textId="77777777" w:rsidR="00843C23" w:rsidRPr="00BA4F7F" w:rsidRDefault="00000000">
            <w:pPr>
              <w:jc w:val="center"/>
            </w:pPr>
            <w:r w:rsidRPr="00BA4F7F">
              <w:rPr>
                <w:sz w:val="15"/>
              </w:rPr>
              <w:t>+21,4</w:t>
            </w:r>
          </w:p>
        </w:tc>
        <w:tc>
          <w:tcPr>
            <w:tcW w:w="2304" w:type="dxa"/>
            <w:tcMar>
              <w:top w:w="60" w:type="dxa"/>
              <w:left w:w="70" w:type="dxa"/>
              <w:bottom w:w="60" w:type="dxa"/>
              <w:right w:w="70" w:type="dxa"/>
            </w:tcMar>
            <w:vAlign w:val="center"/>
          </w:tcPr>
          <w:p w14:paraId="2FCDEB33" w14:textId="77777777" w:rsidR="00843C23" w:rsidRPr="00BA4F7F" w:rsidRDefault="00000000">
            <w:pPr>
              <w:jc w:val="center"/>
            </w:pPr>
            <w:r w:rsidRPr="00BA4F7F">
              <w:rPr>
                <w:sz w:val="15"/>
              </w:rPr>
              <w:t>wysoka odporność / silna zdolność</w:t>
            </w:r>
          </w:p>
        </w:tc>
      </w:tr>
      <w:tr w:rsidR="00843C23" w:rsidRPr="00BA4F7F" w14:paraId="2B8CFBF8" w14:textId="77777777">
        <w:trPr>
          <w:cantSplit/>
          <w:jc w:val="center"/>
        </w:trPr>
        <w:tc>
          <w:tcPr>
            <w:tcW w:w="4320" w:type="dxa"/>
            <w:shd w:val="clear" w:color="auto" w:fill="F7F7F7"/>
            <w:tcMar>
              <w:top w:w="60" w:type="dxa"/>
              <w:left w:w="70" w:type="dxa"/>
              <w:bottom w:w="60" w:type="dxa"/>
              <w:right w:w="70" w:type="dxa"/>
            </w:tcMar>
            <w:vAlign w:val="center"/>
          </w:tcPr>
          <w:p w14:paraId="5EC0E417" w14:textId="77777777" w:rsidR="00843C23" w:rsidRPr="00BA4F7F" w:rsidRDefault="00000000">
            <w:pPr>
              <w:jc w:val="left"/>
            </w:pPr>
            <w:r w:rsidRPr="00BA4F7F">
              <w:rPr>
                <w:b/>
                <w:sz w:val="15"/>
              </w:rPr>
              <w:t>Równowaga zewnętrzna</w:t>
            </w:r>
          </w:p>
        </w:tc>
        <w:tc>
          <w:tcPr>
            <w:tcW w:w="1008" w:type="dxa"/>
            <w:shd w:val="clear" w:color="auto" w:fill="F7F7F7"/>
            <w:tcMar>
              <w:top w:w="60" w:type="dxa"/>
              <w:left w:w="70" w:type="dxa"/>
              <w:bottom w:w="60" w:type="dxa"/>
              <w:right w:w="70" w:type="dxa"/>
            </w:tcMar>
            <w:vAlign w:val="center"/>
          </w:tcPr>
          <w:p w14:paraId="28FB1FF9" w14:textId="77777777" w:rsidR="00843C23" w:rsidRPr="00BA4F7F" w:rsidRDefault="00000000">
            <w:pPr>
              <w:jc w:val="center"/>
            </w:pPr>
            <w:r w:rsidRPr="00BA4F7F">
              <w:rPr>
                <w:sz w:val="15"/>
              </w:rPr>
              <w:t>80,9</w:t>
            </w:r>
          </w:p>
        </w:tc>
        <w:tc>
          <w:tcPr>
            <w:tcW w:w="1728" w:type="dxa"/>
            <w:shd w:val="clear" w:color="auto" w:fill="F7F7F7"/>
            <w:tcMar>
              <w:top w:w="60" w:type="dxa"/>
              <w:left w:w="70" w:type="dxa"/>
              <w:bottom w:w="60" w:type="dxa"/>
              <w:right w:w="70" w:type="dxa"/>
            </w:tcMar>
            <w:vAlign w:val="center"/>
          </w:tcPr>
          <w:p w14:paraId="45065039" w14:textId="77777777" w:rsidR="00843C23" w:rsidRPr="00BA4F7F" w:rsidRDefault="00000000">
            <w:pPr>
              <w:jc w:val="center"/>
            </w:pPr>
            <w:r w:rsidRPr="00BA4F7F">
              <w:rPr>
                <w:sz w:val="15"/>
              </w:rPr>
              <w:t>+2,0</w:t>
            </w:r>
          </w:p>
        </w:tc>
        <w:tc>
          <w:tcPr>
            <w:tcW w:w="2304" w:type="dxa"/>
            <w:shd w:val="clear" w:color="auto" w:fill="F7F7F7"/>
            <w:tcMar>
              <w:top w:w="60" w:type="dxa"/>
              <w:left w:w="70" w:type="dxa"/>
              <w:bottom w:w="60" w:type="dxa"/>
              <w:right w:w="70" w:type="dxa"/>
            </w:tcMar>
            <w:vAlign w:val="center"/>
          </w:tcPr>
          <w:p w14:paraId="1E408076" w14:textId="77777777" w:rsidR="00843C23" w:rsidRPr="00BA4F7F" w:rsidRDefault="00000000">
            <w:pPr>
              <w:jc w:val="center"/>
            </w:pPr>
            <w:r w:rsidRPr="00BA4F7F">
              <w:rPr>
                <w:sz w:val="15"/>
              </w:rPr>
              <w:t>wysoka odporność / silna zdolność</w:t>
            </w:r>
          </w:p>
        </w:tc>
      </w:tr>
      <w:tr w:rsidR="00843C23" w:rsidRPr="00BA4F7F" w14:paraId="0D754239" w14:textId="77777777">
        <w:trPr>
          <w:cantSplit/>
          <w:jc w:val="center"/>
        </w:trPr>
        <w:tc>
          <w:tcPr>
            <w:tcW w:w="4320" w:type="dxa"/>
            <w:tcMar>
              <w:top w:w="60" w:type="dxa"/>
              <w:left w:w="70" w:type="dxa"/>
              <w:bottom w:w="60" w:type="dxa"/>
              <w:right w:w="70" w:type="dxa"/>
            </w:tcMar>
            <w:vAlign w:val="center"/>
          </w:tcPr>
          <w:p w14:paraId="5AAB2F69" w14:textId="77777777" w:rsidR="00843C23" w:rsidRPr="00BA4F7F" w:rsidRDefault="00000000">
            <w:pPr>
              <w:jc w:val="left"/>
            </w:pPr>
            <w:r w:rsidRPr="00BA4F7F">
              <w:rPr>
                <w:b/>
                <w:sz w:val="15"/>
              </w:rPr>
              <w:t>Dochody i warunki życia</w:t>
            </w:r>
          </w:p>
        </w:tc>
        <w:tc>
          <w:tcPr>
            <w:tcW w:w="1008" w:type="dxa"/>
            <w:tcMar>
              <w:top w:w="60" w:type="dxa"/>
              <w:left w:w="70" w:type="dxa"/>
              <w:bottom w:w="60" w:type="dxa"/>
              <w:right w:w="70" w:type="dxa"/>
            </w:tcMar>
            <w:vAlign w:val="center"/>
          </w:tcPr>
          <w:p w14:paraId="7446B292" w14:textId="77777777" w:rsidR="00843C23" w:rsidRPr="00BA4F7F" w:rsidRDefault="00000000">
            <w:pPr>
              <w:jc w:val="center"/>
            </w:pPr>
            <w:r w:rsidRPr="00BA4F7F">
              <w:rPr>
                <w:sz w:val="15"/>
              </w:rPr>
              <w:t>76,5</w:t>
            </w:r>
          </w:p>
        </w:tc>
        <w:tc>
          <w:tcPr>
            <w:tcW w:w="1728" w:type="dxa"/>
            <w:tcMar>
              <w:top w:w="60" w:type="dxa"/>
              <w:left w:w="70" w:type="dxa"/>
              <w:bottom w:w="60" w:type="dxa"/>
              <w:right w:w="70" w:type="dxa"/>
            </w:tcMar>
            <w:vAlign w:val="center"/>
          </w:tcPr>
          <w:p w14:paraId="573D8CAA" w14:textId="77777777" w:rsidR="00843C23" w:rsidRPr="00BA4F7F" w:rsidRDefault="00000000">
            <w:pPr>
              <w:jc w:val="center"/>
            </w:pPr>
            <w:r w:rsidRPr="00BA4F7F">
              <w:rPr>
                <w:sz w:val="15"/>
              </w:rPr>
              <w:t>+8,3</w:t>
            </w:r>
          </w:p>
        </w:tc>
        <w:tc>
          <w:tcPr>
            <w:tcW w:w="2304" w:type="dxa"/>
            <w:tcMar>
              <w:top w:w="60" w:type="dxa"/>
              <w:left w:w="70" w:type="dxa"/>
              <w:bottom w:w="60" w:type="dxa"/>
              <w:right w:w="70" w:type="dxa"/>
            </w:tcMar>
            <w:vAlign w:val="center"/>
          </w:tcPr>
          <w:p w14:paraId="6F4A38E3" w14:textId="77777777" w:rsidR="00843C23" w:rsidRPr="00BA4F7F" w:rsidRDefault="00000000">
            <w:pPr>
              <w:jc w:val="center"/>
            </w:pPr>
            <w:r w:rsidRPr="00BA4F7F">
              <w:rPr>
                <w:sz w:val="15"/>
              </w:rPr>
              <w:t>umiarkowanie dobra odporność</w:t>
            </w:r>
          </w:p>
        </w:tc>
      </w:tr>
      <w:tr w:rsidR="00843C23" w:rsidRPr="00BA4F7F" w14:paraId="228CA006" w14:textId="77777777">
        <w:trPr>
          <w:cantSplit/>
          <w:jc w:val="center"/>
        </w:trPr>
        <w:tc>
          <w:tcPr>
            <w:tcW w:w="4320" w:type="dxa"/>
            <w:shd w:val="clear" w:color="auto" w:fill="F7F7F7"/>
            <w:tcMar>
              <w:top w:w="60" w:type="dxa"/>
              <w:left w:w="70" w:type="dxa"/>
              <w:bottom w:w="60" w:type="dxa"/>
              <w:right w:w="70" w:type="dxa"/>
            </w:tcMar>
            <w:vAlign w:val="center"/>
          </w:tcPr>
          <w:p w14:paraId="667A2B98" w14:textId="77777777" w:rsidR="00843C23" w:rsidRPr="00BA4F7F" w:rsidRDefault="00000000">
            <w:pPr>
              <w:jc w:val="left"/>
            </w:pPr>
            <w:r w:rsidRPr="00BA4F7F">
              <w:rPr>
                <w:b/>
                <w:sz w:val="15"/>
              </w:rPr>
              <w:t>Transport i logistyka</w:t>
            </w:r>
          </w:p>
        </w:tc>
        <w:tc>
          <w:tcPr>
            <w:tcW w:w="1008" w:type="dxa"/>
            <w:shd w:val="clear" w:color="auto" w:fill="F7F7F7"/>
            <w:tcMar>
              <w:top w:w="60" w:type="dxa"/>
              <w:left w:w="70" w:type="dxa"/>
              <w:bottom w:w="60" w:type="dxa"/>
              <w:right w:w="70" w:type="dxa"/>
            </w:tcMar>
            <w:vAlign w:val="center"/>
          </w:tcPr>
          <w:p w14:paraId="77E74A78" w14:textId="77777777" w:rsidR="00843C23" w:rsidRPr="00BA4F7F" w:rsidRDefault="00000000">
            <w:pPr>
              <w:jc w:val="center"/>
            </w:pPr>
            <w:r w:rsidRPr="00BA4F7F">
              <w:rPr>
                <w:sz w:val="15"/>
              </w:rPr>
              <w:t>72,4</w:t>
            </w:r>
          </w:p>
        </w:tc>
        <w:tc>
          <w:tcPr>
            <w:tcW w:w="1728" w:type="dxa"/>
            <w:shd w:val="clear" w:color="auto" w:fill="F7F7F7"/>
            <w:tcMar>
              <w:top w:w="60" w:type="dxa"/>
              <w:left w:w="70" w:type="dxa"/>
              <w:bottom w:w="60" w:type="dxa"/>
              <w:right w:w="70" w:type="dxa"/>
            </w:tcMar>
            <w:vAlign w:val="center"/>
          </w:tcPr>
          <w:p w14:paraId="7F20DF24" w14:textId="77777777" w:rsidR="002C59F5" w:rsidRDefault="00000000">
            <w:r>
              <w:t>−5,2</w:t>
            </w:r>
          </w:p>
        </w:tc>
        <w:tc>
          <w:tcPr>
            <w:tcW w:w="2304" w:type="dxa"/>
            <w:shd w:val="clear" w:color="auto" w:fill="F7F7F7"/>
            <w:tcMar>
              <w:top w:w="60" w:type="dxa"/>
              <w:left w:w="70" w:type="dxa"/>
              <w:bottom w:w="60" w:type="dxa"/>
              <w:right w:w="70" w:type="dxa"/>
            </w:tcMar>
            <w:vAlign w:val="center"/>
          </w:tcPr>
          <w:p w14:paraId="2B1D6A88" w14:textId="77777777" w:rsidR="00843C23" w:rsidRPr="00BA4F7F" w:rsidRDefault="00000000">
            <w:pPr>
              <w:jc w:val="center"/>
            </w:pPr>
            <w:r w:rsidRPr="00BA4F7F">
              <w:rPr>
                <w:sz w:val="15"/>
              </w:rPr>
              <w:t>umiarkowanie dobra odporność</w:t>
            </w:r>
          </w:p>
        </w:tc>
      </w:tr>
      <w:tr w:rsidR="00843C23" w:rsidRPr="00BA4F7F" w14:paraId="08A97ED2" w14:textId="77777777">
        <w:trPr>
          <w:cantSplit/>
          <w:jc w:val="center"/>
        </w:trPr>
        <w:tc>
          <w:tcPr>
            <w:tcW w:w="4320" w:type="dxa"/>
            <w:tcMar>
              <w:top w:w="60" w:type="dxa"/>
              <w:left w:w="70" w:type="dxa"/>
              <w:bottom w:w="60" w:type="dxa"/>
              <w:right w:w="70" w:type="dxa"/>
            </w:tcMar>
            <w:vAlign w:val="center"/>
          </w:tcPr>
          <w:p w14:paraId="07E3DE00" w14:textId="77777777" w:rsidR="00843C23" w:rsidRPr="00BA4F7F" w:rsidRDefault="00000000">
            <w:pPr>
              <w:jc w:val="left"/>
            </w:pPr>
            <w:r w:rsidRPr="00BA4F7F">
              <w:rPr>
                <w:b/>
                <w:sz w:val="15"/>
              </w:rPr>
              <w:t>Energetyka</w:t>
            </w:r>
          </w:p>
        </w:tc>
        <w:tc>
          <w:tcPr>
            <w:tcW w:w="1008" w:type="dxa"/>
            <w:tcMar>
              <w:top w:w="60" w:type="dxa"/>
              <w:left w:w="70" w:type="dxa"/>
              <w:bottom w:w="60" w:type="dxa"/>
              <w:right w:w="70" w:type="dxa"/>
            </w:tcMar>
            <w:vAlign w:val="center"/>
          </w:tcPr>
          <w:p w14:paraId="4BC854FB" w14:textId="77777777" w:rsidR="00843C23" w:rsidRPr="00BA4F7F" w:rsidRDefault="00000000">
            <w:pPr>
              <w:jc w:val="center"/>
            </w:pPr>
            <w:r>
              <w:rPr>
                <w:sz w:val="15"/>
              </w:rPr>
              <w:t>69,5</w:t>
            </w:r>
          </w:p>
        </w:tc>
        <w:tc>
          <w:tcPr>
            <w:tcW w:w="1728" w:type="dxa"/>
            <w:tcMar>
              <w:top w:w="60" w:type="dxa"/>
              <w:left w:w="70" w:type="dxa"/>
              <w:bottom w:w="60" w:type="dxa"/>
              <w:right w:w="70" w:type="dxa"/>
            </w:tcMar>
            <w:vAlign w:val="center"/>
          </w:tcPr>
          <w:p w14:paraId="5F70F6C0" w14:textId="77777777" w:rsidR="002C59F5" w:rsidRDefault="00000000">
            <w:r>
              <w:t>−0,9</w:t>
            </w:r>
          </w:p>
        </w:tc>
        <w:tc>
          <w:tcPr>
            <w:tcW w:w="2304" w:type="dxa"/>
            <w:tcMar>
              <w:top w:w="60" w:type="dxa"/>
              <w:left w:w="70" w:type="dxa"/>
              <w:bottom w:w="60" w:type="dxa"/>
              <w:right w:w="70" w:type="dxa"/>
            </w:tcMar>
            <w:vAlign w:val="center"/>
          </w:tcPr>
          <w:p w14:paraId="0BB70E3A" w14:textId="77777777" w:rsidR="00843C23" w:rsidRPr="00BA4F7F" w:rsidRDefault="00000000">
            <w:pPr>
              <w:jc w:val="center"/>
            </w:pPr>
            <w:r w:rsidRPr="00BA4F7F">
              <w:rPr>
                <w:sz w:val="15"/>
              </w:rPr>
              <w:t>umiarkowanie dobra odporność</w:t>
            </w:r>
          </w:p>
        </w:tc>
      </w:tr>
      <w:tr w:rsidR="00843C23" w:rsidRPr="00BA4F7F" w14:paraId="4E30FE27" w14:textId="77777777">
        <w:trPr>
          <w:cantSplit/>
          <w:jc w:val="center"/>
        </w:trPr>
        <w:tc>
          <w:tcPr>
            <w:tcW w:w="4320" w:type="dxa"/>
            <w:shd w:val="clear" w:color="auto" w:fill="F7F7F7"/>
            <w:tcMar>
              <w:top w:w="60" w:type="dxa"/>
              <w:left w:w="70" w:type="dxa"/>
              <w:bottom w:w="60" w:type="dxa"/>
              <w:right w:w="70" w:type="dxa"/>
            </w:tcMar>
            <w:vAlign w:val="center"/>
          </w:tcPr>
          <w:p w14:paraId="6972F728" w14:textId="77777777" w:rsidR="00843C23" w:rsidRPr="00BA4F7F" w:rsidRDefault="00000000">
            <w:pPr>
              <w:jc w:val="left"/>
            </w:pPr>
            <w:r w:rsidRPr="00BA4F7F">
              <w:rPr>
                <w:b/>
                <w:sz w:val="15"/>
              </w:rPr>
              <w:t>Cyfryzacja</w:t>
            </w:r>
          </w:p>
        </w:tc>
        <w:tc>
          <w:tcPr>
            <w:tcW w:w="1008" w:type="dxa"/>
            <w:shd w:val="clear" w:color="auto" w:fill="F7F7F7"/>
            <w:tcMar>
              <w:top w:w="60" w:type="dxa"/>
              <w:left w:w="70" w:type="dxa"/>
              <w:bottom w:w="60" w:type="dxa"/>
              <w:right w:w="70" w:type="dxa"/>
            </w:tcMar>
            <w:vAlign w:val="center"/>
          </w:tcPr>
          <w:p w14:paraId="7A80B48F" w14:textId="77777777" w:rsidR="00843C23" w:rsidRPr="00BA4F7F" w:rsidRDefault="00000000">
            <w:pPr>
              <w:jc w:val="center"/>
            </w:pPr>
            <w:r w:rsidRPr="00BA4F7F">
              <w:rPr>
                <w:sz w:val="15"/>
              </w:rPr>
              <w:t>65,5</w:t>
            </w:r>
          </w:p>
        </w:tc>
        <w:tc>
          <w:tcPr>
            <w:tcW w:w="1728" w:type="dxa"/>
            <w:shd w:val="clear" w:color="auto" w:fill="F7F7F7"/>
            <w:tcMar>
              <w:top w:w="60" w:type="dxa"/>
              <w:left w:w="70" w:type="dxa"/>
              <w:bottom w:w="60" w:type="dxa"/>
              <w:right w:w="70" w:type="dxa"/>
            </w:tcMar>
            <w:vAlign w:val="center"/>
          </w:tcPr>
          <w:p w14:paraId="369BDBE5" w14:textId="77777777" w:rsidR="002C59F5" w:rsidRDefault="00000000">
            <w:r>
              <w:t>−10,0</w:t>
            </w:r>
          </w:p>
        </w:tc>
        <w:tc>
          <w:tcPr>
            <w:tcW w:w="2304" w:type="dxa"/>
            <w:shd w:val="clear" w:color="auto" w:fill="F7F7F7"/>
            <w:tcMar>
              <w:top w:w="60" w:type="dxa"/>
              <w:left w:w="70" w:type="dxa"/>
              <w:bottom w:w="60" w:type="dxa"/>
              <w:right w:w="70" w:type="dxa"/>
            </w:tcMar>
            <w:vAlign w:val="center"/>
          </w:tcPr>
          <w:p w14:paraId="144FA31B" w14:textId="77777777" w:rsidR="00843C23" w:rsidRPr="00BA4F7F" w:rsidRDefault="00000000">
            <w:pPr>
              <w:jc w:val="center"/>
            </w:pPr>
            <w:r w:rsidRPr="00BA4F7F">
              <w:rPr>
                <w:sz w:val="15"/>
              </w:rPr>
              <w:t>umiarkowanie dobra odporność</w:t>
            </w:r>
          </w:p>
        </w:tc>
      </w:tr>
      <w:tr w:rsidR="00843C23" w:rsidRPr="00BA4F7F" w14:paraId="561D03C3" w14:textId="77777777">
        <w:trPr>
          <w:cantSplit/>
          <w:jc w:val="center"/>
        </w:trPr>
        <w:tc>
          <w:tcPr>
            <w:tcW w:w="4320" w:type="dxa"/>
            <w:tcMar>
              <w:top w:w="60" w:type="dxa"/>
              <w:left w:w="70" w:type="dxa"/>
              <w:bottom w:w="60" w:type="dxa"/>
              <w:right w:w="70" w:type="dxa"/>
            </w:tcMar>
            <w:vAlign w:val="center"/>
          </w:tcPr>
          <w:p w14:paraId="4892F29D" w14:textId="77777777" w:rsidR="00843C23" w:rsidRPr="00BA4F7F" w:rsidRDefault="00000000">
            <w:pPr>
              <w:jc w:val="left"/>
            </w:pPr>
            <w:r w:rsidRPr="00BA4F7F">
              <w:rPr>
                <w:b/>
                <w:sz w:val="15"/>
              </w:rPr>
              <w:t>Bezpieczeństwo publiczne</w:t>
            </w:r>
          </w:p>
        </w:tc>
        <w:tc>
          <w:tcPr>
            <w:tcW w:w="1008" w:type="dxa"/>
            <w:tcMar>
              <w:top w:w="60" w:type="dxa"/>
              <w:left w:w="70" w:type="dxa"/>
              <w:bottom w:w="60" w:type="dxa"/>
              <w:right w:w="70" w:type="dxa"/>
            </w:tcMar>
            <w:vAlign w:val="center"/>
          </w:tcPr>
          <w:p w14:paraId="48723FB6" w14:textId="77777777" w:rsidR="00843C23" w:rsidRPr="00BA4F7F" w:rsidRDefault="00000000">
            <w:pPr>
              <w:jc w:val="center"/>
            </w:pPr>
            <w:r>
              <w:rPr>
                <w:sz w:val="15"/>
              </w:rPr>
              <w:t>64,5</w:t>
            </w:r>
          </w:p>
        </w:tc>
        <w:tc>
          <w:tcPr>
            <w:tcW w:w="1728" w:type="dxa"/>
            <w:tcMar>
              <w:top w:w="60" w:type="dxa"/>
              <w:left w:w="70" w:type="dxa"/>
              <w:bottom w:w="60" w:type="dxa"/>
              <w:right w:w="70" w:type="dxa"/>
            </w:tcMar>
            <w:vAlign w:val="center"/>
          </w:tcPr>
          <w:p w14:paraId="6202F851" w14:textId="77777777" w:rsidR="002C59F5" w:rsidRDefault="00000000">
            <w:r>
              <w:t>−12,8</w:t>
            </w:r>
          </w:p>
        </w:tc>
        <w:tc>
          <w:tcPr>
            <w:tcW w:w="2304" w:type="dxa"/>
            <w:tcMar>
              <w:top w:w="60" w:type="dxa"/>
              <w:left w:w="70" w:type="dxa"/>
              <w:bottom w:w="60" w:type="dxa"/>
              <w:right w:w="70" w:type="dxa"/>
            </w:tcMar>
            <w:vAlign w:val="center"/>
          </w:tcPr>
          <w:p w14:paraId="26FD150B" w14:textId="77777777" w:rsidR="00843C23" w:rsidRPr="00BA4F7F" w:rsidRDefault="00000000">
            <w:pPr>
              <w:jc w:val="center"/>
            </w:pPr>
            <w:r w:rsidRPr="00BA4F7F">
              <w:rPr>
                <w:sz w:val="15"/>
              </w:rPr>
              <w:t>umiarkowanie dobra odporność</w:t>
            </w:r>
          </w:p>
        </w:tc>
      </w:tr>
      <w:tr w:rsidR="00843C23" w:rsidRPr="00BA4F7F" w14:paraId="66E71B6C" w14:textId="77777777">
        <w:trPr>
          <w:cantSplit/>
          <w:jc w:val="center"/>
        </w:trPr>
        <w:tc>
          <w:tcPr>
            <w:tcW w:w="4320" w:type="dxa"/>
            <w:shd w:val="clear" w:color="auto" w:fill="F7F7F7"/>
            <w:tcMar>
              <w:top w:w="60" w:type="dxa"/>
              <w:left w:w="70" w:type="dxa"/>
              <w:bottom w:w="60" w:type="dxa"/>
              <w:right w:w="70" w:type="dxa"/>
            </w:tcMar>
            <w:vAlign w:val="center"/>
          </w:tcPr>
          <w:p w14:paraId="32263598" w14:textId="77777777" w:rsidR="00843C23" w:rsidRPr="00BA4F7F" w:rsidRDefault="00000000">
            <w:pPr>
              <w:jc w:val="left"/>
            </w:pPr>
            <w:r w:rsidRPr="00BA4F7F">
              <w:rPr>
                <w:b/>
                <w:sz w:val="15"/>
              </w:rPr>
              <w:t>Odporność cywilna i ochrona ludności</w:t>
            </w:r>
          </w:p>
        </w:tc>
        <w:tc>
          <w:tcPr>
            <w:tcW w:w="1008" w:type="dxa"/>
            <w:shd w:val="clear" w:color="auto" w:fill="F7F7F7"/>
            <w:tcMar>
              <w:top w:w="60" w:type="dxa"/>
              <w:left w:w="70" w:type="dxa"/>
              <w:bottom w:w="60" w:type="dxa"/>
              <w:right w:w="70" w:type="dxa"/>
            </w:tcMar>
            <w:vAlign w:val="center"/>
          </w:tcPr>
          <w:p w14:paraId="7EE2D551" w14:textId="77777777" w:rsidR="00843C23" w:rsidRPr="00BA4F7F" w:rsidRDefault="00000000">
            <w:pPr>
              <w:jc w:val="center"/>
            </w:pPr>
            <w:r w:rsidRPr="00BA4F7F">
              <w:rPr>
                <w:sz w:val="15"/>
              </w:rPr>
              <w:t>63,4</w:t>
            </w:r>
          </w:p>
        </w:tc>
        <w:tc>
          <w:tcPr>
            <w:tcW w:w="1728" w:type="dxa"/>
            <w:shd w:val="clear" w:color="auto" w:fill="F7F7F7"/>
            <w:tcMar>
              <w:top w:w="60" w:type="dxa"/>
              <w:left w:w="70" w:type="dxa"/>
              <w:bottom w:w="60" w:type="dxa"/>
              <w:right w:w="70" w:type="dxa"/>
            </w:tcMar>
            <w:vAlign w:val="center"/>
          </w:tcPr>
          <w:p w14:paraId="5F1E811B" w14:textId="77777777" w:rsidR="00843C23" w:rsidRPr="00BA4F7F" w:rsidRDefault="00000000">
            <w:pPr>
              <w:jc w:val="center"/>
            </w:pPr>
            <w:r w:rsidRPr="00BA4F7F">
              <w:rPr>
                <w:sz w:val="15"/>
              </w:rPr>
              <w:t>+6,8</w:t>
            </w:r>
          </w:p>
        </w:tc>
        <w:tc>
          <w:tcPr>
            <w:tcW w:w="2304" w:type="dxa"/>
            <w:shd w:val="clear" w:color="auto" w:fill="F7F7F7"/>
            <w:tcMar>
              <w:top w:w="60" w:type="dxa"/>
              <w:left w:w="70" w:type="dxa"/>
              <w:bottom w:w="60" w:type="dxa"/>
              <w:right w:w="70" w:type="dxa"/>
            </w:tcMar>
            <w:vAlign w:val="center"/>
          </w:tcPr>
          <w:p w14:paraId="304BCC3D" w14:textId="77777777" w:rsidR="00843C23" w:rsidRPr="00BA4F7F" w:rsidRDefault="00000000">
            <w:pPr>
              <w:jc w:val="center"/>
            </w:pPr>
            <w:r w:rsidRPr="00BA4F7F">
              <w:rPr>
                <w:sz w:val="15"/>
              </w:rPr>
              <w:t>umiarkowanie dobra odporność</w:t>
            </w:r>
          </w:p>
        </w:tc>
      </w:tr>
      <w:tr w:rsidR="00843C23" w:rsidRPr="00BA4F7F" w14:paraId="63FDFE3A" w14:textId="77777777">
        <w:trPr>
          <w:cantSplit/>
          <w:jc w:val="center"/>
        </w:trPr>
        <w:tc>
          <w:tcPr>
            <w:tcW w:w="4320" w:type="dxa"/>
            <w:tcMar>
              <w:top w:w="60" w:type="dxa"/>
              <w:left w:w="70" w:type="dxa"/>
              <w:bottom w:w="60" w:type="dxa"/>
              <w:right w:w="70" w:type="dxa"/>
            </w:tcMar>
            <w:vAlign w:val="center"/>
          </w:tcPr>
          <w:p w14:paraId="4B13E137" w14:textId="77777777" w:rsidR="00843C23" w:rsidRPr="00BA4F7F" w:rsidRDefault="00000000">
            <w:pPr>
              <w:jc w:val="left"/>
            </w:pPr>
            <w:r w:rsidRPr="00BA4F7F">
              <w:rPr>
                <w:b/>
                <w:sz w:val="15"/>
              </w:rPr>
              <w:lastRenderedPageBreak/>
              <w:t>Finanse publiczne</w:t>
            </w:r>
          </w:p>
        </w:tc>
        <w:tc>
          <w:tcPr>
            <w:tcW w:w="1008" w:type="dxa"/>
            <w:tcMar>
              <w:top w:w="60" w:type="dxa"/>
              <w:left w:w="70" w:type="dxa"/>
              <w:bottom w:w="60" w:type="dxa"/>
              <w:right w:w="70" w:type="dxa"/>
            </w:tcMar>
            <w:vAlign w:val="center"/>
          </w:tcPr>
          <w:p w14:paraId="54B3D2CC" w14:textId="77777777" w:rsidR="00843C23" w:rsidRPr="00BA4F7F" w:rsidRDefault="00000000">
            <w:pPr>
              <w:jc w:val="center"/>
            </w:pPr>
            <w:r w:rsidRPr="00BA4F7F">
              <w:rPr>
                <w:sz w:val="15"/>
              </w:rPr>
              <w:t>51,7</w:t>
            </w:r>
          </w:p>
        </w:tc>
        <w:tc>
          <w:tcPr>
            <w:tcW w:w="1728" w:type="dxa"/>
            <w:tcMar>
              <w:top w:w="60" w:type="dxa"/>
              <w:left w:w="70" w:type="dxa"/>
              <w:bottom w:w="60" w:type="dxa"/>
              <w:right w:w="70" w:type="dxa"/>
            </w:tcMar>
            <w:vAlign w:val="center"/>
          </w:tcPr>
          <w:p w14:paraId="11AAB175" w14:textId="77777777" w:rsidR="002C59F5" w:rsidRDefault="00000000">
            <w:r>
              <w:t>−6,3</w:t>
            </w:r>
          </w:p>
        </w:tc>
        <w:tc>
          <w:tcPr>
            <w:tcW w:w="2304" w:type="dxa"/>
            <w:tcMar>
              <w:top w:w="60" w:type="dxa"/>
              <w:left w:w="70" w:type="dxa"/>
              <w:bottom w:w="60" w:type="dxa"/>
              <w:right w:w="70" w:type="dxa"/>
            </w:tcMar>
            <w:vAlign w:val="center"/>
          </w:tcPr>
          <w:p w14:paraId="5C6684B5" w14:textId="77777777" w:rsidR="00843C23" w:rsidRPr="00BA4F7F" w:rsidRDefault="00000000">
            <w:pPr>
              <w:jc w:val="center"/>
            </w:pPr>
            <w:r w:rsidRPr="00BA4F7F">
              <w:rPr>
                <w:sz w:val="15"/>
              </w:rPr>
              <w:t>słaba lub niepełna odporność</w:t>
            </w:r>
          </w:p>
        </w:tc>
      </w:tr>
      <w:tr w:rsidR="00843C23" w:rsidRPr="00BA4F7F" w14:paraId="47EA9007" w14:textId="77777777">
        <w:trPr>
          <w:cantSplit/>
          <w:jc w:val="center"/>
        </w:trPr>
        <w:tc>
          <w:tcPr>
            <w:tcW w:w="4320" w:type="dxa"/>
            <w:shd w:val="clear" w:color="auto" w:fill="F7F7F7"/>
            <w:tcMar>
              <w:top w:w="60" w:type="dxa"/>
              <w:left w:w="70" w:type="dxa"/>
              <w:bottom w:w="60" w:type="dxa"/>
              <w:right w:w="70" w:type="dxa"/>
            </w:tcMar>
            <w:vAlign w:val="center"/>
          </w:tcPr>
          <w:p w14:paraId="220ED52F" w14:textId="77777777" w:rsidR="00843C23" w:rsidRPr="00BA4F7F" w:rsidRDefault="00000000">
            <w:pPr>
              <w:jc w:val="left"/>
            </w:pPr>
            <w:r w:rsidRPr="00BA4F7F">
              <w:rPr>
                <w:b/>
                <w:sz w:val="15"/>
              </w:rPr>
              <w:t>Inwestycje</w:t>
            </w:r>
          </w:p>
        </w:tc>
        <w:tc>
          <w:tcPr>
            <w:tcW w:w="1008" w:type="dxa"/>
            <w:shd w:val="clear" w:color="auto" w:fill="F7F7F7"/>
            <w:tcMar>
              <w:top w:w="60" w:type="dxa"/>
              <w:left w:w="70" w:type="dxa"/>
              <w:bottom w:w="60" w:type="dxa"/>
              <w:right w:w="70" w:type="dxa"/>
            </w:tcMar>
            <w:vAlign w:val="center"/>
          </w:tcPr>
          <w:p w14:paraId="2E1524F2" w14:textId="77777777" w:rsidR="00843C23" w:rsidRPr="00BA4F7F" w:rsidRDefault="00000000">
            <w:pPr>
              <w:jc w:val="center"/>
            </w:pPr>
            <w:r w:rsidRPr="00BA4F7F">
              <w:rPr>
                <w:sz w:val="15"/>
              </w:rPr>
              <w:t>50,0</w:t>
            </w:r>
          </w:p>
        </w:tc>
        <w:tc>
          <w:tcPr>
            <w:tcW w:w="1728" w:type="dxa"/>
            <w:shd w:val="clear" w:color="auto" w:fill="F7F7F7"/>
            <w:tcMar>
              <w:top w:w="60" w:type="dxa"/>
              <w:left w:w="70" w:type="dxa"/>
              <w:bottom w:w="60" w:type="dxa"/>
              <w:right w:w="70" w:type="dxa"/>
            </w:tcMar>
            <w:vAlign w:val="center"/>
          </w:tcPr>
          <w:p w14:paraId="7C372C94" w14:textId="77777777" w:rsidR="00843C23" w:rsidRPr="00BA4F7F" w:rsidRDefault="00000000">
            <w:pPr>
              <w:jc w:val="center"/>
            </w:pPr>
            <w:r w:rsidRPr="00BA4F7F">
              <w:rPr>
                <w:sz w:val="15"/>
              </w:rPr>
              <w:t>+10,9</w:t>
            </w:r>
          </w:p>
        </w:tc>
        <w:tc>
          <w:tcPr>
            <w:tcW w:w="2304" w:type="dxa"/>
            <w:shd w:val="clear" w:color="auto" w:fill="F7F7F7"/>
            <w:tcMar>
              <w:top w:w="60" w:type="dxa"/>
              <w:left w:w="70" w:type="dxa"/>
              <w:bottom w:w="60" w:type="dxa"/>
              <w:right w:w="70" w:type="dxa"/>
            </w:tcMar>
            <w:vAlign w:val="center"/>
          </w:tcPr>
          <w:p w14:paraId="6BB633B5" w14:textId="77777777" w:rsidR="00843C23" w:rsidRPr="00BA4F7F" w:rsidRDefault="00000000">
            <w:pPr>
              <w:jc w:val="center"/>
            </w:pPr>
            <w:r w:rsidRPr="00BA4F7F">
              <w:rPr>
                <w:sz w:val="15"/>
              </w:rPr>
              <w:t>słaba lub niepełna odporność</w:t>
            </w:r>
          </w:p>
        </w:tc>
      </w:tr>
      <w:tr w:rsidR="00843C23" w:rsidRPr="00BA4F7F" w14:paraId="701F4FD1" w14:textId="77777777">
        <w:trPr>
          <w:cantSplit/>
          <w:jc w:val="center"/>
        </w:trPr>
        <w:tc>
          <w:tcPr>
            <w:tcW w:w="4320" w:type="dxa"/>
            <w:tcMar>
              <w:top w:w="60" w:type="dxa"/>
              <w:left w:w="70" w:type="dxa"/>
              <w:bottom w:w="60" w:type="dxa"/>
              <w:right w:w="70" w:type="dxa"/>
            </w:tcMar>
            <w:vAlign w:val="center"/>
          </w:tcPr>
          <w:p w14:paraId="0CA43E54" w14:textId="77777777" w:rsidR="00843C23" w:rsidRPr="00BA4F7F" w:rsidRDefault="00000000">
            <w:pPr>
              <w:jc w:val="left"/>
            </w:pPr>
            <w:r w:rsidRPr="00BA4F7F">
              <w:rPr>
                <w:b/>
                <w:sz w:val="15"/>
              </w:rPr>
              <w:t>Aktywność państwa wobec kryzysu demograficznego</w:t>
            </w:r>
          </w:p>
        </w:tc>
        <w:tc>
          <w:tcPr>
            <w:tcW w:w="1008" w:type="dxa"/>
            <w:tcMar>
              <w:top w:w="60" w:type="dxa"/>
              <w:left w:w="70" w:type="dxa"/>
              <w:bottom w:w="60" w:type="dxa"/>
              <w:right w:w="70" w:type="dxa"/>
            </w:tcMar>
            <w:vAlign w:val="center"/>
          </w:tcPr>
          <w:p w14:paraId="13F7D191" w14:textId="77777777" w:rsidR="00843C23" w:rsidRPr="00BA4F7F" w:rsidRDefault="00000000">
            <w:pPr>
              <w:jc w:val="center"/>
            </w:pPr>
            <w:r w:rsidRPr="00BA4F7F">
              <w:rPr>
                <w:sz w:val="15"/>
              </w:rPr>
              <w:t>46,0</w:t>
            </w:r>
          </w:p>
        </w:tc>
        <w:tc>
          <w:tcPr>
            <w:tcW w:w="1728" w:type="dxa"/>
            <w:tcMar>
              <w:top w:w="60" w:type="dxa"/>
              <w:left w:w="70" w:type="dxa"/>
              <w:bottom w:w="60" w:type="dxa"/>
              <w:right w:w="70" w:type="dxa"/>
            </w:tcMar>
            <w:vAlign w:val="center"/>
          </w:tcPr>
          <w:p w14:paraId="252F723B" w14:textId="77777777" w:rsidR="002C59F5" w:rsidRDefault="00000000">
            <w:r>
              <w:t>−13,0</w:t>
            </w:r>
          </w:p>
        </w:tc>
        <w:tc>
          <w:tcPr>
            <w:tcW w:w="2304" w:type="dxa"/>
            <w:tcMar>
              <w:top w:w="60" w:type="dxa"/>
              <w:left w:w="70" w:type="dxa"/>
              <w:bottom w:w="60" w:type="dxa"/>
              <w:right w:w="70" w:type="dxa"/>
            </w:tcMar>
            <w:vAlign w:val="center"/>
          </w:tcPr>
          <w:p w14:paraId="283E1102" w14:textId="77777777" w:rsidR="00843C23" w:rsidRPr="00BA4F7F" w:rsidRDefault="00000000">
            <w:pPr>
              <w:jc w:val="center"/>
            </w:pPr>
            <w:r w:rsidRPr="00BA4F7F">
              <w:rPr>
                <w:sz w:val="15"/>
              </w:rPr>
              <w:t>słaba lub niepełna odporność</w:t>
            </w:r>
          </w:p>
        </w:tc>
      </w:tr>
      <w:tr w:rsidR="00843C23" w:rsidRPr="00BA4F7F" w14:paraId="139626D1" w14:textId="77777777">
        <w:trPr>
          <w:cantSplit/>
          <w:jc w:val="center"/>
        </w:trPr>
        <w:tc>
          <w:tcPr>
            <w:tcW w:w="4320" w:type="dxa"/>
            <w:shd w:val="clear" w:color="auto" w:fill="F7F7F7"/>
            <w:tcMar>
              <w:top w:w="60" w:type="dxa"/>
              <w:left w:w="70" w:type="dxa"/>
              <w:bottom w:w="60" w:type="dxa"/>
              <w:right w:w="70" w:type="dxa"/>
            </w:tcMar>
            <w:vAlign w:val="center"/>
          </w:tcPr>
          <w:p w14:paraId="7C45F9D0" w14:textId="77777777" w:rsidR="00843C23" w:rsidRPr="00BA4F7F" w:rsidRDefault="00000000">
            <w:pPr>
              <w:jc w:val="left"/>
            </w:pPr>
            <w:r w:rsidRPr="00BA4F7F">
              <w:rPr>
                <w:b/>
                <w:sz w:val="15"/>
              </w:rPr>
              <w:t>Stan i struktura ludności</w:t>
            </w:r>
          </w:p>
        </w:tc>
        <w:tc>
          <w:tcPr>
            <w:tcW w:w="1008" w:type="dxa"/>
            <w:shd w:val="clear" w:color="auto" w:fill="F7F7F7"/>
            <w:tcMar>
              <w:top w:w="60" w:type="dxa"/>
              <w:left w:w="70" w:type="dxa"/>
              <w:bottom w:w="60" w:type="dxa"/>
              <w:right w:w="70" w:type="dxa"/>
            </w:tcMar>
            <w:vAlign w:val="center"/>
          </w:tcPr>
          <w:p w14:paraId="238D8831" w14:textId="77777777" w:rsidR="00843C23" w:rsidRPr="00BA4F7F" w:rsidRDefault="00000000">
            <w:pPr>
              <w:jc w:val="center"/>
            </w:pPr>
            <w:r w:rsidRPr="00BA4F7F">
              <w:rPr>
                <w:sz w:val="15"/>
              </w:rPr>
              <w:t>44,5</w:t>
            </w:r>
          </w:p>
        </w:tc>
        <w:tc>
          <w:tcPr>
            <w:tcW w:w="1728" w:type="dxa"/>
            <w:shd w:val="clear" w:color="auto" w:fill="F7F7F7"/>
            <w:tcMar>
              <w:top w:w="60" w:type="dxa"/>
              <w:left w:w="70" w:type="dxa"/>
              <w:bottom w:w="60" w:type="dxa"/>
              <w:right w:w="70" w:type="dxa"/>
            </w:tcMar>
            <w:vAlign w:val="center"/>
          </w:tcPr>
          <w:p w14:paraId="07AE7B5F" w14:textId="77777777" w:rsidR="002C59F5" w:rsidRDefault="00000000">
            <w:r>
              <w:t>−16,8</w:t>
            </w:r>
          </w:p>
        </w:tc>
        <w:tc>
          <w:tcPr>
            <w:tcW w:w="2304" w:type="dxa"/>
            <w:shd w:val="clear" w:color="auto" w:fill="F7F7F7"/>
            <w:tcMar>
              <w:top w:w="60" w:type="dxa"/>
              <w:left w:w="70" w:type="dxa"/>
              <w:bottom w:w="60" w:type="dxa"/>
              <w:right w:w="70" w:type="dxa"/>
            </w:tcMar>
            <w:vAlign w:val="center"/>
          </w:tcPr>
          <w:p w14:paraId="4BBFAE7F" w14:textId="77777777" w:rsidR="00843C23" w:rsidRPr="00BA4F7F" w:rsidRDefault="00000000">
            <w:pPr>
              <w:jc w:val="center"/>
            </w:pPr>
            <w:r w:rsidRPr="00BA4F7F">
              <w:rPr>
                <w:sz w:val="15"/>
              </w:rPr>
              <w:t>słaba lub niepełna odporność</w:t>
            </w:r>
          </w:p>
        </w:tc>
      </w:tr>
      <w:tr w:rsidR="00843C23" w:rsidRPr="00BA4F7F" w14:paraId="0161F73B" w14:textId="77777777">
        <w:trPr>
          <w:cantSplit/>
          <w:jc w:val="center"/>
        </w:trPr>
        <w:tc>
          <w:tcPr>
            <w:tcW w:w="4320" w:type="dxa"/>
            <w:tcMar>
              <w:top w:w="60" w:type="dxa"/>
              <w:left w:w="70" w:type="dxa"/>
              <w:bottom w:w="60" w:type="dxa"/>
              <w:right w:w="70" w:type="dxa"/>
            </w:tcMar>
            <w:vAlign w:val="center"/>
          </w:tcPr>
          <w:p w14:paraId="025BC9E4" w14:textId="77777777" w:rsidR="00843C23" w:rsidRPr="00BA4F7F" w:rsidRDefault="00000000">
            <w:pPr>
              <w:jc w:val="left"/>
            </w:pPr>
            <w:r w:rsidRPr="00BA4F7F">
              <w:rPr>
                <w:b/>
                <w:sz w:val="15"/>
              </w:rPr>
              <w:t>Sprawność instytucjonalna</w:t>
            </w:r>
          </w:p>
        </w:tc>
        <w:tc>
          <w:tcPr>
            <w:tcW w:w="1008" w:type="dxa"/>
            <w:tcMar>
              <w:top w:w="60" w:type="dxa"/>
              <w:left w:w="70" w:type="dxa"/>
              <w:bottom w:w="60" w:type="dxa"/>
              <w:right w:w="70" w:type="dxa"/>
            </w:tcMar>
            <w:vAlign w:val="center"/>
          </w:tcPr>
          <w:p w14:paraId="165CD884" w14:textId="77777777" w:rsidR="00843C23" w:rsidRPr="00BA4F7F" w:rsidRDefault="00000000">
            <w:pPr>
              <w:jc w:val="center"/>
            </w:pPr>
            <w:r w:rsidRPr="00BA4F7F">
              <w:rPr>
                <w:sz w:val="15"/>
              </w:rPr>
              <w:t>43,3</w:t>
            </w:r>
          </w:p>
        </w:tc>
        <w:tc>
          <w:tcPr>
            <w:tcW w:w="1728" w:type="dxa"/>
            <w:tcMar>
              <w:top w:w="60" w:type="dxa"/>
              <w:left w:w="70" w:type="dxa"/>
              <w:bottom w:w="60" w:type="dxa"/>
              <w:right w:w="70" w:type="dxa"/>
            </w:tcMar>
            <w:vAlign w:val="center"/>
          </w:tcPr>
          <w:p w14:paraId="02EB0BA3" w14:textId="77777777" w:rsidR="002C59F5" w:rsidRDefault="00000000">
            <w:r>
              <w:t>−16,7</w:t>
            </w:r>
          </w:p>
        </w:tc>
        <w:tc>
          <w:tcPr>
            <w:tcW w:w="2304" w:type="dxa"/>
            <w:tcMar>
              <w:top w:w="60" w:type="dxa"/>
              <w:left w:w="70" w:type="dxa"/>
              <w:bottom w:w="60" w:type="dxa"/>
              <w:right w:w="70" w:type="dxa"/>
            </w:tcMar>
            <w:vAlign w:val="center"/>
          </w:tcPr>
          <w:p w14:paraId="0E2A21DE" w14:textId="77777777" w:rsidR="00843C23" w:rsidRPr="00BA4F7F" w:rsidRDefault="00000000">
            <w:pPr>
              <w:jc w:val="center"/>
            </w:pPr>
            <w:r w:rsidRPr="00BA4F7F">
              <w:rPr>
                <w:sz w:val="15"/>
              </w:rPr>
              <w:t>słaba lub niepełna odporność</w:t>
            </w:r>
          </w:p>
        </w:tc>
      </w:tr>
      <w:tr w:rsidR="00843C23" w:rsidRPr="00BA4F7F" w14:paraId="4E1AE971" w14:textId="77777777">
        <w:trPr>
          <w:cantSplit/>
          <w:jc w:val="center"/>
        </w:trPr>
        <w:tc>
          <w:tcPr>
            <w:tcW w:w="4320" w:type="dxa"/>
            <w:shd w:val="clear" w:color="auto" w:fill="F7F7F7"/>
            <w:tcMar>
              <w:top w:w="60" w:type="dxa"/>
              <w:left w:w="70" w:type="dxa"/>
              <w:bottom w:w="60" w:type="dxa"/>
              <w:right w:w="70" w:type="dxa"/>
            </w:tcMar>
            <w:vAlign w:val="center"/>
          </w:tcPr>
          <w:p w14:paraId="265631AE" w14:textId="77777777" w:rsidR="00843C23" w:rsidRPr="00BA4F7F" w:rsidRDefault="00000000">
            <w:pPr>
              <w:jc w:val="left"/>
            </w:pPr>
            <w:r w:rsidRPr="00BA4F7F">
              <w:rPr>
                <w:b/>
                <w:sz w:val="15"/>
              </w:rPr>
              <w:t>Stabilność i egzekwowalność prawa</w:t>
            </w:r>
          </w:p>
        </w:tc>
        <w:tc>
          <w:tcPr>
            <w:tcW w:w="1008" w:type="dxa"/>
            <w:shd w:val="clear" w:color="auto" w:fill="F7F7F7"/>
            <w:tcMar>
              <w:top w:w="60" w:type="dxa"/>
              <w:left w:w="70" w:type="dxa"/>
              <w:bottom w:w="60" w:type="dxa"/>
              <w:right w:w="70" w:type="dxa"/>
            </w:tcMar>
            <w:vAlign w:val="center"/>
          </w:tcPr>
          <w:p w14:paraId="53BCB03C" w14:textId="77777777" w:rsidR="00843C23" w:rsidRPr="00BA4F7F" w:rsidRDefault="00000000">
            <w:pPr>
              <w:jc w:val="center"/>
            </w:pPr>
            <w:r w:rsidRPr="00BA4F7F">
              <w:rPr>
                <w:sz w:val="15"/>
              </w:rPr>
              <w:t>40,0</w:t>
            </w:r>
          </w:p>
        </w:tc>
        <w:tc>
          <w:tcPr>
            <w:tcW w:w="1728" w:type="dxa"/>
            <w:shd w:val="clear" w:color="auto" w:fill="F7F7F7"/>
            <w:tcMar>
              <w:top w:w="60" w:type="dxa"/>
              <w:left w:w="70" w:type="dxa"/>
              <w:bottom w:w="60" w:type="dxa"/>
              <w:right w:w="70" w:type="dxa"/>
            </w:tcMar>
            <w:vAlign w:val="center"/>
          </w:tcPr>
          <w:p w14:paraId="08C1D2D7" w14:textId="77777777" w:rsidR="002C59F5" w:rsidRDefault="00000000">
            <w:r>
              <w:t>−3,3</w:t>
            </w:r>
          </w:p>
        </w:tc>
        <w:tc>
          <w:tcPr>
            <w:tcW w:w="2304" w:type="dxa"/>
            <w:shd w:val="clear" w:color="auto" w:fill="F7F7F7"/>
            <w:tcMar>
              <w:top w:w="60" w:type="dxa"/>
              <w:left w:w="70" w:type="dxa"/>
              <w:bottom w:w="60" w:type="dxa"/>
              <w:right w:w="70" w:type="dxa"/>
            </w:tcMar>
            <w:vAlign w:val="center"/>
          </w:tcPr>
          <w:p w14:paraId="0EC24698" w14:textId="77777777" w:rsidR="00843C23" w:rsidRPr="00BA4F7F" w:rsidRDefault="00000000">
            <w:pPr>
              <w:jc w:val="center"/>
            </w:pPr>
            <w:r w:rsidRPr="00BA4F7F">
              <w:rPr>
                <w:sz w:val="15"/>
              </w:rPr>
              <w:t>słaba lub niepełna odporność</w:t>
            </w:r>
          </w:p>
        </w:tc>
      </w:tr>
      <w:tr w:rsidR="00843C23" w:rsidRPr="00BA4F7F" w14:paraId="0C6C009F" w14:textId="77777777">
        <w:trPr>
          <w:cantSplit/>
          <w:jc w:val="center"/>
        </w:trPr>
        <w:tc>
          <w:tcPr>
            <w:tcW w:w="4320" w:type="dxa"/>
            <w:tcMar>
              <w:top w:w="60" w:type="dxa"/>
              <w:left w:w="70" w:type="dxa"/>
              <w:bottom w:w="60" w:type="dxa"/>
              <w:right w:w="70" w:type="dxa"/>
            </w:tcMar>
            <w:vAlign w:val="center"/>
          </w:tcPr>
          <w:p w14:paraId="797A850A" w14:textId="77777777" w:rsidR="00843C23" w:rsidRPr="00BA4F7F" w:rsidRDefault="00000000">
            <w:pPr>
              <w:jc w:val="left"/>
            </w:pPr>
            <w:r w:rsidRPr="00BA4F7F">
              <w:rPr>
                <w:b/>
                <w:sz w:val="15"/>
              </w:rPr>
              <w:t>Zmiany regulacyjne</w:t>
            </w:r>
          </w:p>
        </w:tc>
        <w:tc>
          <w:tcPr>
            <w:tcW w:w="1008" w:type="dxa"/>
            <w:tcMar>
              <w:top w:w="60" w:type="dxa"/>
              <w:left w:w="70" w:type="dxa"/>
              <w:bottom w:w="60" w:type="dxa"/>
              <w:right w:w="70" w:type="dxa"/>
            </w:tcMar>
            <w:vAlign w:val="center"/>
          </w:tcPr>
          <w:p w14:paraId="6C4ECD89" w14:textId="77777777" w:rsidR="00843C23" w:rsidRPr="00BA4F7F" w:rsidRDefault="00000000">
            <w:pPr>
              <w:jc w:val="center"/>
            </w:pPr>
            <w:r w:rsidRPr="00BA4F7F">
              <w:rPr>
                <w:sz w:val="15"/>
              </w:rPr>
              <w:t>38,8</w:t>
            </w:r>
          </w:p>
        </w:tc>
        <w:tc>
          <w:tcPr>
            <w:tcW w:w="1728" w:type="dxa"/>
            <w:tcMar>
              <w:top w:w="60" w:type="dxa"/>
              <w:left w:w="70" w:type="dxa"/>
              <w:bottom w:w="60" w:type="dxa"/>
              <w:right w:w="70" w:type="dxa"/>
            </w:tcMar>
            <w:vAlign w:val="center"/>
          </w:tcPr>
          <w:p w14:paraId="262FF92E" w14:textId="77777777" w:rsidR="002C59F5" w:rsidRDefault="00000000">
            <w:r>
              <w:t>−13,8</w:t>
            </w:r>
          </w:p>
        </w:tc>
        <w:tc>
          <w:tcPr>
            <w:tcW w:w="2304" w:type="dxa"/>
            <w:tcMar>
              <w:top w:w="60" w:type="dxa"/>
              <w:left w:w="70" w:type="dxa"/>
              <w:bottom w:w="60" w:type="dxa"/>
              <w:right w:w="70" w:type="dxa"/>
            </w:tcMar>
            <w:vAlign w:val="center"/>
          </w:tcPr>
          <w:p w14:paraId="19772FA8" w14:textId="77777777" w:rsidR="00843C23" w:rsidRPr="00BA4F7F" w:rsidRDefault="00000000">
            <w:pPr>
              <w:jc w:val="center"/>
            </w:pPr>
            <w:r w:rsidRPr="00BA4F7F">
              <w:rPr>
                <w:sz w:val="15"/>
              </w:rPr>
              <w:t>wysokie ryzyko strategiczne</w:t>
            </w:r>
          </w:p>
        </w:tc>
      </w:tr>
      <w:tr w:rsidR="00843C23" w:rsidRPr="00BA4F7F" w14:paraId="26639923" w14:textId="77777777">
        <w:trPr>
          <w:cantSplit/>
          <w:jc w:val="center"/>
        </w:trPr>
        <w:tc>
          <w:tcPr>
            <w:tcW w:w="4320" w:type="dxa"/>
            <w:shd w:val="clear" w:color="auto" w:fill="F7F7F7"/>
            <w:tcMar>
              <w:top w:w="60" w:type="dxa"/>
              <w:left w:w="70" w:type="dxa"/>
              <w:bottom w:w="60" w:type="dxa"/>
              <w:right w:w="70" w:type="dxa"/>
            </w:tcMar>
            <w:vAlign w:val="center"/>
          </w:tcPr>
          <w:p w14:paraId="26609D45" w14:textId="77777777" w:rsidR="00843C23" w:rsidRPr="00BA4F7F" w:rsidRDefault="00000000">
            <w:pPr>
              <w:jc w:val="left"/>
            </w:pPr>
            <w:r w:rsidRPr="00BA4F7F">
              <w:rPr>
                <w:b/>
                <w:sz w:val="15"/>
              </w:rPr>
              <w:t>Integracja i kapitał społeczny</w:t>
            </w:r>
          </w:p>
        </w:tc>
        <w:tc>
          <w:tcPr>
            <w:tcW w:w="1008" w:type="dxa"/>
            <w:shd w:val="clear" w:color="auto" w:fill="F7F7F7"/>
            <w:tcMar>
              <w:top w:w="60" w:type="dxa"/>
              <w:left w:w="70" w:type="dxa"/>
              <w:bottom w:w="60" w:type="dxa"/>
              <w:right w:w="70" w:type="dxa"/>
            </w:tcMar>
            <w:vAlign w:val="center"/>
          </w:tcPr>
          <w:p w14:paraId="637E1ACF" w14:textId="77777777" w:rsidR="00843C23" w:rsidRPr="00BA4F7F" w:rsidRDefault="00000000">
            <w:pPr>
              <w:jc w:val="center"/>
            </w:pPr>
            <w:r w:rsidRPr="00BA4F7F">
              <w:rPr>
                <w:sz w:val="15"/>
              </w:rPr>
              <w:t>38,0</w:t>
            </w:r>
          </w:p>
        </w:tc>
        <w:tc>
          <w:tcPr>
            <w:tcW w:w="1728" w:type="dxa"/>
            <w:shd w:val="clear" w:color="auto" w:fill="F7F7F7"/>
            <w:tcMar>
              <w:top w:w="60" w:type="dxa"/>
              <w:left w:w="70" w:type="dxa"/>
              <w:bottom w:w="60" w:type="dxa"/>
              <w:right w:w="70" w:type="dxa"/>
            </w:tcMar>
            <w:vAlign w:val="center"/>
          </w:tcPr>
          <w:p w14:paraId="77D7609F" w14:textId="77777777" w:rsidR="002C59F5" w:rsidRDefault="00000000">
            <w:r>
              <w:t>−14,1</w:t>
            </w:r>
          </w:p>
        </w:tc>
        <w:tc>
          <w:tcPr>
            <w:tcW w:w="2304" w:type="dxa"/>
            <w:shd w:val="clear" w:color="auto" w:fill="F7F7F7"/>
            <w:tcMar>
              <w:top w:w="60" w:type="dxa"/>
              <w:left w:w="70" w:type="dxa"/>
              <w:bottom w:w="60" w:type="dxa"/>
              <w:right w:w="70" w:type="dxa"/>
            </w:tcMar>
            <w:vAlign w:val="center"/>
          </w:tcPr>
          <w:p w14:paraId="1CA2A368" w14:textId="77777777" w:rsidR="00843C23" w:rsidRPr="00BA4F7F" w:rsidRDefault="00000000">
            <w:pPr>
              <w:jc w:val="center"/>
            </w:pPr>
            <w:r w:rsidRPr="00BA4F7F">
              <w:rPr>
                <w:sz w:val="15"/>
              </w:rPr>
              <w:t>wysokie ryzyko strategiczne</w:t>
            </w:r>
          </w:p>
        </w:tc>
      </w:tr>
      <w:tr w:rsidR="00843C23" w:rsidRPr="00BA4F7F" w14:paraId="4D24EF0B" w14:textId="77777777">
        <w:trPr>
          <w:cantSplit/>
          <w:jc w:val="center"/>
        </w:trPr>
        <w:tc>
          <w:tcPr>
            <w:tcW w:w="4320" w:type="dxa"/>
            <w:tcMar>
              <w:top w:w="60" w:type="dxa"/>
              <w:left w:w="70" w:type="dxa"/>
              <w:bottom w:w="60" w:type="dxa"/>
              <w:right w:w="70" w:type="dxa"/>
            </w:tcMar>
            <w:vAlign w:val="center"/>
          </w:tcPr>
          <w:p w14:paraId="55F68AB6" w14:textId="77777777" w:rsidR="00843C23" w:rsidRPr="00BA4F7F" w:rsidRDefault="00000000">
            <w:pPr>
              <w:jc w:val="left"/>
            </w:pPr>
            <w:r w:rsidRPr="00BA4F7F">
              <w:rPr>
                <w:b/>
                <w:sz w:val="15"/>
              </w:rPr>
              <w:t>Ciągłość konstytucyjna</w:t>
            </w:r>
          </w:p>
        </w:tc>
        <w:tc>
          <w:tcPr>
            <w:tcW w:w="1008" w:type="dxa"/>
            <w:tcMar>
              <w:top w:w="60" w:type="dxa"/>
              <w:left w:w="70" w:type="dxa"/>
              <w:bottom w:w="60" w:type="dxa"/>
              <w:right w:w="70" w:type="dxa"/>
            </w:tcMar>
            <w:vAlign w:val="center"/>
          </w:tcPr>
          <w:p w14:paraId="6E344E64" w14:textId="77777777" w:rsidR="00843C23" w:rsidRPr="00BA4F7F" w:rsidRDefault="00000000">
            <w:pPr>
              <w:jc w:val="center"/>
            </w:pPr>
            <w:r w:rsidRPr="00BA4F7F">
              <w:rPr>
                <w:sz w:val="15"/>
              </w:rPr>
              <w:t>16,7</w:t>
            </w:r>
          </w:p>
        </w:tc>
        <w:tc>
          <w:tcPr>
            <w:tcW w:w="1728" w:type="dxa"/>
            <w:tcMar>
              <w:top w:w="60" w:type="dxa"/>
              <w:left w:w="70" w:type="dxa"/>
              <w:bottom w:w="60" w:type="dxa"/>
              <w:right w:w="70" w:type="dxa"/>
            </w:tcMar>
            <w:vAlign w:val="center"/>
          </w:tcPr>
          <w:p w14:paraId="67B05035" w14:textId="77777777" w:rsidR="002C59F5" w:rsidRDefault="00000000">
            <w:r>
              <w:t>−18,3</w:t>
            </w:r>
          </w:p>
        </w:tc>
        <w:tc>
          <w:tcPr>
            <w:tcW w:w="2304" w:type="dxa"/>
            <w:tcMar>
              <w:top w:w="60" w:type="dxa"/>
              <w:left w:w="70" w:type="dxa"/>
              <w:bottom w:w="60" w:type="dxa"/>
              <w:right w:w="70" w:type="dxa"/>
            </w:tcMar>
            <w:vAlign w:val="center"/>
          </w:tcPr>
          <w:p w14:paraId="7201E116" w14:textId="77777777" w:rsidR="00843C23" w:rsidRPr="00BA4F7F" w:rsidRDefault="00000000">
            <w:pPr>
              <w:jc w:val="center"/>
            </w:pPr>
            <w:r w:rsidRPr="00BA4F7F">
              <w:rPr>
                <w:sz w:val="15"/>
              </w:rPr>
              <w:t>ryzyko krytyczne</w:t>
            </w:r>
          </w:p>
        </w:tc>
      </w:tr>
      <w:tr w:rsidR="00843C23" w:rsidRPr="00BA4F7F" w14:paraId="473AA8AF" w14:textId="77777777">
        <w:trPr>
          <w:cantSplit/>
          <w:jc w:val="center"/>
        </w:trPr>
        <w:tc>
          <w:tcPr>
            <w:tcW w:w="4320" w:type="dxa"/>
            <w:shd w:val="clear" w:color="auto" w:fill="F7F7F7"/>
            <w:tcMar>
              <w:top w:w="60" w:type="dxa"/>
              <w:left w:w="70" w:type="dxa"/>
              <w:bottom w:w="60" w:type="dxa"/>
              <w:right w:w="70" w:type="dxa"/>
            </w:tcMar>
            <w:vAlign w:val="center"/>
          </w:tcPr>
          <w:p w14:paraId="1CF3621F" w14:textId="77777777" w:rsidR="00843C23" w:rsidRPr="00BA4F7F" w:rsidRDefault="00000000">
            <w:pPr>
              <w:jc w:val="left"/>
            </w:pPr>
            <w:r w:rsidRPr="00BA4F7F">
              <w:rPr>
                <w:b/>
                <w:sz w:val="15"/>
              </w:rPr>
              <w:t>Dzietność</w:t>
            </w:r>
          </w:p>
        </w:tc>
        <w:tc>
          <w:tcPr>
            <w:tcW w:w="1008" w:type="dxa"/>
            <w:shd w:val="clear" w:color="auto" w:fill="F7F7F7"/>
            <w:tcMar>
              <w:top w:w="60" w:type="dxa"/>
              <w:left w:w="70" w:type="dxa"/>
              <w:bottom w:w="60" w:type="dxa"/>
              <w:right w:w="70" w:type="dxa"/>
            </w:tcMar>
            <w:vAlign w:val="center"/>
          </w:tcPr>
          <w:p w14:paraId="40081308" w14:textId="77777777" w:rsidR="00843C23" w:rsidRPr="00BA4F7F" w:rsidRDefault="00000000">
            <w:pPr>
              <w:jc w:val="center"/>
            </w:pPr>
            <w:r w:rsidRPr="00BA4F7F">
              <w:rPr>
                <w:sz w:val="15"/>
              </w:rPr>
              <w:t>6,0</w:t>
            </w:r>
          </w:p>
        </w:tc>
        <w:tc>
          <w:tcPr>
            <w:tcW w:w="1728" w:type="dxa"/>
            <w:shd w:val="clear" w:color="auto" w:fill="F7F7F7"/>
            <w:tcMar>
              <w:top w:w="60" w:type="dxa"/>
              <w:left w:w="70" w:type="dxa"/>
              <w:bottom w:w="60" w:type="dxa"/>
              <w:right w:w="70" w:type="dxa"/>
            </w:tcMar>
            <w:vAlign w:val="center"/>
          </w:tcPr>
          <w:p w14:paraId="10CEF699" w14:textId="77777777" w:rsidR="002C59F5" w:rsidRDefault="00000000">
            <w:r>
              <w:t>−40,2</w:t>
            </w:r>
          </w:p>
        </w:tc>
        <w:tc>
          <w:tcPr>
            <w:tcW w:w="2304" w:type="dxa"/>
            <w:shd w:val="clear" w:color="auto" w:fill="F7F7F7"/>
            <w:tcMar>
              <w:top w:w="60" w:type="dxa"/>
              <w:left w:w="70" w:type="dxa"/>
              <w:bottom w:w="60" w:type="dxa"/>
              <w:right w:w="70" w:type="dxa"/>
            </w:tcMar>
            <w:vAlign w:val="center"/>
          </w:tcPr>
          <w:p w14:paraId="6ED6F324" w14:textId="77777777" w:rsidR="00843C23" w:rsidRPr="00BA4F7F" w:rsidRDefault="00000000">
            <w:pPr>
              <w:jc w:val="center"/>
            </w:pPr>
            <w:r w:rsidRPr="00BA4F7F">
              <w:rPr>
                <w:sz w:val="15"/>
              </w:rPr>
              <w:t>ryzyko krytyczne</w:t>
            </w:r>
          </w:p>
        </w:tc>
      </w:tr>
    </w:tbl>
    <w:p w14:paraId="30661E1D" w14:textId="77777777" w:rsidR="00843C23" w:rsidRPr="00BA4F7F" w:rsidRDefault="00843C23">
      <w:pPr>
        <w:spacing w:after="20" w:line="259" w:lineRule="auto"/>
      </w:pPr>
    </w:p>
    <w:p w14:paraId="589DFE86" w14:textId="77777777" w:rsidR="00843C23" w:rsidRPr="00BA4F7F" w:rsidRDefault="00000000">
      <w:pPr>
        <w:spacing w:line="259" w:lineRule="auto"/>
      </w:pPr>
      <w:r w:rsidRPr="00BA4F7F">
        <w:t>Ranking nie powinien prowadzić do mechanicznej alokacji środków. Nie każdy niski wynik poprawia się większym budżetem. Dzietność wymaga polityki przekrojowej, ciągłość konstytucyjna legalnego domknięcia konfliktu, a kapitał społeczny wieloletniej pracy instytucji pośrednich. Z kolei wysoki wynik może wymagać utrzymania kosztownego wysiłku, jak w obronności.</w:t>
      </w:r>
    </w:p>
    <w:p w14:paraId="403A392A" w14:textId="77777777" w:rsidR="00181CD9" w:rsidRDefault="00181CD9">
      <w:pPr>
        <w:pStyle w:val="ChapterKicker"/>
        <w:keepNext/>
        <w:keepLines/>
        <w:rPr>
          <w:lang w:val="pl-PL"/>
        </w:rPr>
      </w:pPr>
    </w:p>
    <w:p w14:paraId="14AFDBF9" w14:textId="77777777" w:rsidR="00181CD9" w:rsidRDefault="00181CD9">
      <w:pPr>
        <w:pStyle w:val="ChapterKicker"/>
        <w:keepNext/>
        <w:keepLines/>
        <w:rPr>
          <w:lang w:val="pl-PL"/>
        </w:rPr>
      </w:pPr>
    </w:p>
    <w:p w14:paraId="39969F85" w14:textId="77777777" w:rsidR="00181CD9" w:rsidRDefault="00181CD9">
      <w:pPr>
        <w:pStyle w:val="ChapterKicker"/>
        <w:keepNext/>
        <w:keepLines/>
        <w:rPr>
          <w:lang w:val="pl-PL"/>
        </w:rPr>
      </w:pPr>
    </w:p>
    <w:p w14:paraId="627296C4" w14:textId="77777777" w:rsidR="00181CD9" w:rsidRDefault="00181CD9">
      <w:pPr>
        <w:pStyle w:val="ChapterKicker"/>
        <w:keepNext/>
        <w:keepLines/>
        <w:rPr>
          <w:lang w:val="pl-PL"/>
        </w:rPr>
      </w:pPr>
    </w:p>
    <w:p w14:paraId="610EDB28" w14:textId="77777777" w:rsidR="00181CD9" w:rsidRDefault="00181CD9">
      <w:pPr>
        <w:pStyle w:val="ChapterKicker"/>
        <w:keepNext/>
        <w:keepLines/>
        <w:rPr>
          <w:lang w:val="pl-PL"/>
        </w:rPr>
      </w:pPr>
    </w:p>
    <w:p w14:paraId="11FA7456" w14:textId="77777777" w:rsidR="00181CD9" w:rsidRDefault="00181CD9">
      <w:pPr>
        <w:pStyle w:val="ChapterKicker"/>
        <w:keepNext/>
        <w:keepLines/>
        <w:rPr>
          <w:lang w:val="pl-PL"/>
        </w:rPr>
      </w:pPr>
    </w:p>
    <w:p w14:paraId="504DC2CF" w14:textId="77777777" w:rsidR="00181CD9" w:rsidRDefault="00181CD9">
      <w:pPr>
        <w:pStyle w:val="ChapterKicker"/>
        <w:keepNext/>
        <w:keepLines/>
        <w:rPr>
          <w:lang w:val="pl-PL"/>
        </w:rPr>
      </w:pPr>
    </w:p>
    <w:p w14:paraId="5237688C" w14:textId="77777777" w:rsidR="00181CD9" w:rsidRDefault="00181CD9">
      <w:pPr>
        <w:pStyle w:val="ChapterKicker"/>
        <w:keepNext/>
        <w:keepLines/>
        <w:rPr>
          <w:lang w:val="pl-PL"/>
        </w:rPr>
      </w:pPr>
    </w:p>
    <w:p w14:paraId="32B2AB89" w14:textId="77777777" w:rsidR="00181CD9" w:rsidRDefault="00181CD9">
      <w:pPr>
        <w:pStyle w:val="ChapterKicker"/>
        <w:keepNext/>
        <w:keepLines/>
        <w:rPr>
          <w:lang w:val="pl-PL"/>
        </w:rPr>
      </w:pPr>
    </w:p>
    <w:p w14:paraId="0B6B7719" w14:textId="77777777" w:rsidR="00181CD9" w:rsidRDefault="00181CD9">
      <w:pPr>
        <w:pStyle w:val="ChapterKicker"/>
        <w:keepNext/>
        <w:keepLines/>
        <w:rPr>
          <w:lang w:val="pl-PL"/>
        </w:rPr>
      </w:pPr>
    </w:p>
    <w:p w14:paraId="34C4A2C5" w14:textId="77777777" w:rsidR="00181CD9" w:rsidRDefault="00181CD9">
      <w:pPr>
        <w:pStyle w:val="ChapterKicker"/>
        <w:keepNext/>
        <w:keepLines/>
        <w:rPr>
          <w:lang w:val="pl-PL"/>
        </w:rPr>
      </w:pPr>
    </w:p>
    <w:p w14:paraId="76A52B3E" w14:textId="77777777" w:rsidR="00181CD9" w:rsidRDefault="00181CD9">
      <w:pPr>
        <w:pStyle w:val="ChapterKicker"/>
        <w:keepNext/>
        <w:keepLines/>
        <w:rPr>
          <w:lang w:val="pl-PL"/>
        </w:rPr>
      </w:pPr>
    </w:p>
    <w:p w14:paraId="3978D4E5" w14:textId="77777777" w:rsidR="00181CD9" w:rsidRDefault="00181CD9">
      <w:pPr>
        <w:pStyle w:val="ChapterKicker"/>
        <w:keepNext/>
        <w:keepLines/>
        <w:rPr>
          <w:lang w:val="pl-PL"/>
        </w:rPr>
      </w:pPr>
    </w:p>
    <w:p w14:paraId="6B8C3A44" w14:textId="77777777" w:rsidR="00181CD9" w:rsidRDefault="00181CD9">
      <w:pPr>
        <w:pStyle w:val="ChapterKicker"/>
        <w:keepNext/>
        <w:keepLines/>
        <w:rPr>
          <w:lang w:val="pl-PL"/>
        </w:rPr>
      </w:pPr>
    </w:p>
    <w:p w14:paraId="7DA4442D" w14:textId="77777777" w:rsidR="00181CD9" w:rsidRDefault="00181CD9">
      <w:pPr>
        <w:pStyle w:val="ChapterKicker"/>
        <w:keepNext/>
        <w:keepLines/>
        <w:rPr>
          <w:lang w:val="pl-PL"/>
        </w:rPr>
      </w:pPr>
    </w:p>
    <w:p w14:paraId="21D86DC2" w14:textId="77777777" w:rsidR="00181CD9" w:rsidRDefault="00181CD9">
      <w:pPr>
        <w:pStyle w:val="ChapterKicker"/>
        <w:keepNext/>
        <w:keepLines/>
        <w:rPr>
          <w:lang w:val="pl-PL"/>
        </w:rPr>
      </w:pPr>
    </w:p>
    <w:p w14:paraId="06F76540" w14:textId="77777777" w:rsidR="00181CD9" w:rsidRDefault="00181CD9">
      <w:pPr>
        <w:pStyle w:val="ChapterKicker"/>
        <w:keepNext/>
        <w:keepLines/>
        <w:rPr>
          <w:lang w:val="pl-PL"/>
        </w:rPr>
      </w:pPr>
    </w:p>
    <w:p w14:paraId="5BF3FD73" w14:textId="77777777" w:rsidR="00181CD9" w:rsidRDefault="00181CD9">
      <w:pPr>
        <w:pStyle w:val="ChapterKicker"/>
        <w:keepNext/>
        <w:keepLines/>
        <w:rPr>
          <w:lang w:val="pl-PL"/>
        </w:rPr>
      </w:pPr>
    </w:p>
    <w:p w14:paraId="3A4EFD45" w14:textId="77777777" w:rsidR="00843C23" w:rsidRPr="00BA4F7F" w:rsidRDefault="00000000">
      <w:pPr>
        <w:pStyle w:val="ChapterKicker"/>
        <w:keepNext/>
        <w:keepLines/>
        <w:rPr>
          <w:lang w:val="pl-PL"/>
        </w:rPr>
      </w:pPr>
      <w:r w:rsidRPr="00BA4F7F">
        <w:rPr>
          <w:lang w:val="pl-PL"/>
        </w:rPr>
        <w:t>KARTY DIAGNOSTYCZNE</w:t>
      </w:r>
    </w:p>
    <w:p w14:paraId="03570767" w14:textId="77777777" w:rsidR="00843C23" w:rsidRPr="00BA4F7F" w:rsidRDefault="00000000">
      <w:pPr>
        <w:pStyle w:val="Nagwek1"/>
        <w:spacing w:before="0"/>
      </w:pPr>
      <w:bookmarkStart w:id="28" w:name="_Toc236400284"/>
      <w:bookmarkStart w:id="29" w:name="_Toc236400511"/>
      <w:r w:rsidRPr="00BA4F7F">
        <w:t xml:space="preserve">14A. Karty diagnostyczne dwudziestu </w:t>
      </w:r>
      <w:proofErr w:type="spellStart"/>
      <w:r w:rsidRPr="00BA4F7F">
        <w:t>subobszarów</w:t>
      </w:r>
      <w:bookmarkEnd w:id="28"/>
      <w:bookmarkEnd w:id="29"/>
      <w:proofErr w:type="spellEnd"/>
    </w:p>
    <w:p w14:paraId="3CC3AAE6" w14:textId="77777777" w:rsidR="00843C23" w:rsidRPr="00BA4F7F" w:rsidRDefault="00000000">
      <w:pPr>
        <w:pStyle w:val="Lead"/>
        <w:keepNext/>
        <w:spacing w:after="100" w:line="259" w:lineRule="auto"/>
        <w:rPr>
          <w:lang w:val="pl-PL"/>
        </w:rPr>
      </w:pPr>
      <w:r w:rsidRPr="00BA4F7F">
        <w:rPr>
          <w:lang w:val="pl-PL"/>
        </w:rPr>
        <w:t xml:space="preserve">Każda karta stanowi samodzielną diagnozę </w:t>
      </w:r>
      <w:proofErr w:type="spellStart"/>
      <w:r w:rsidRPr="00BA4F7F">
        <w:rPr>
          <w:lang w:val="pl-PL"/>
        </w:rPr>
        <w:t>subobszaru</w:t>
      </w:r>
      <w:proofErr w:type="spellEnd"/>
      <w:r w:rsidRPr="00BA4F7F">
        <w:rPr>
          <w:lang w:val="pl-PL"/>
        </w:rPr>
        <w:t>. Łączy wynik i pełną trajektorię 2020–2025 z danymi źródłowymi, konstrukcją przeliczenia na skalę IRS, opisem rzeczywistych procesów społeczno-gospodarczych, znaczeniem dla racji stanu, wnioskiem oraz mierzalnym warunkiem poprawy. Jeżeli komponent spełnia warunek formalnego alertu albo sygnału trwałej słabości, status jest wskazany w nagłówku karty. Pełna interpretacja zależności między ostrzeżeniami została przedstawiona w rozdziale 14B.</w:t>
      </w:r>
    </w:p>
    <w:p w14:paraId="39800109" w14:textId="77777777" w:rsidR="00843C23" w:rsidRPr="00BA4F7F" w:rsidRDefault="00000000">
      <w:pPr>
        <w:spacing w:line="259" w:lineRule="auto"/>
      </w:pPr>
      <w:r w:rsidRPr="00BA4F7F">
        <w:br w:type="page"/>
      </w:r>
    </w:p>
    <w:p w14:paraId="7EB49B0B" w14:textId="77777777" w:rsidR="00537CA0" w:rsidRPr="00BA4F7F" w:rsidRDefault="00000000">
      <w:pPr>
        <w:pStyle w:val="Nagwek2"/>
        <w:spacing w:before="0" w:after="60"/>
      </w:pPr>
      <w:r w:rsidRPr="00BA4F7F">
        <w:rPr>
          <w:rFonts w:ascii="Aptos Display" w:hAnsi="Aptos Display"/>
          <w:sz w:val="30"/>
        </w:rPr>
        <w:lastRenderedPageBreak/>
        <w:t>14A.1. Finanse publiczne</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0BFA8129"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71AD00F6" w14:textId="77777777" w:rsidR="00537CA0" w:rsidRPr="00BA4F7F" w:rsidRDefault="00000000">
            <w:pPr>
              <w:spacing w:after="0" w:line="240" w:lineRule="auto"/>
              <w:jc w:val="left"/>
            </w:pPr>
            <w:r w:rsidRPr="00BA4F7F">
              <w:rPr>
                <w:rFonts w:ascii="Aptos" w:hAnsi="Aptos"/>
                <w:b/>
                <w:color w:val="FFFFFF"/>
                <w:sz w:val="14"/>
              </w:rPr>
              <w:t>WYNIK 2025</w:t>
            </w:r>
            <w:r w:rsidRPr="00BA4F7F">
              <w:rPr>
                <w:rFonts w:ascii="Aptos" w:hAnsi="Aptos"/>
                <w:b/>
                <w:color w:val="FFFFFF"/>
                <w:sz w:val="14"/>
              </w:rPr>
              <w:br/>
            </w:r>
            <w:r w:rsidRPr="00BA4F7F">
              <w:rPr>
                <w:rFonts w:ascii="Aptos" w:hAnsi="Aptos"/>
                <w:b/>
                <w:color w:val="FFFFFF"/>
                <w:sz w:val="34"/>
              </w:rPr>
              <w:t>51,7</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150AC2E6" w14:textId="77777777" w:rsidR="00537CA0" w:rsidRPr="00BA4F7F" w:rsidRDefault="00000000">
            <w:pPr>
              <w:spacing w:after="0" w:line="240" w:lineRule="auto"/>
              <w:jc w:val="left"/>
            </w:pPr>
            <w:r w:rsidRPr="00BA4F7F">
              <w:rPr>
                <w:rFonts w:ascii="Aptos" w:hAnsi="Aptos"/>
                <w:b/>
                <w:color w:val="FFFFFF"/>
                <w:sz w:val="14"/>
              </w:rPr>
              <w:t>ZMIANA 2020–2025</w:t>
            </w:r>
            <w:r w:rsidRPr="00BA4F7F">
              <w:rPr>
                <w:rFonts w:ascii="Aptos" w:hAnsi="Aptos"/>
                <w:b/>
                <w:color w:val="FFFFFF"/>
                <w:sz w:val="14"/>
              </w:rPr>
              <w:br/>
            </w:r>
            <w:r w:rsidRPr="00BA4F7F">
              <w:rPr>
                <w:rFonts w:ascii="Aptos" w:hAnsi="Aptos"/>
                <w:b/>
                <w:color w:val="FFFFFF"/>
                <w:sz w:val="34"/>
              </w:rPr>
              <w:t>−6,3</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58E3A9D3"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słaba lub niepełna odporność</w:t>
            </w:r>
          </w:p>
          <w:p w14:paraId="30F6ED4D" w14:textId="77777777" w:rsidR="003357E9" w:rsidRPr="00BA4F7F" w:rsidRDefault="00000000">
            <w:pPr>
              <w:spacing w:before="60" w:after="0"/>
            </w:pPr>
            <w:r w:rsidRPr="00BA4F7F">
              <w:rPr>
                <w:b/>
                <w:color w:val="666666"/>
                <w:sz w:val="14"/>
              </w:rPr>
              <w:t>STATUS OSTRZEGAWCZY 2025</w:t>
            </w:r>
            <w:r w:rsidRPr="00BA4F7F">
              <w:rPr>
                <w:b/>
                <w:color w:val="666666"/>
                <w:sz w:val="14"/>
              </w:rPr>
              <w:br/>
            </w:r>
            <w:r w:rsidRPr="00BA4F7F">
              <w:rPr>
                <w:b/>
                <w:color w:val="2F75B5"/>
                <w:sz w:val="16"/>
              </w:rPr>
              <w:t>POGORSZENIE STRUKTURALNE</w:t>
            </w:r>
          </w:p>
        </w:tc>
      </w:tr>
    </w:tbl>
    <w:p w14:paraId="2439C1BC" w14:textId="77777777" w:rsidR="00537CA0" w:rsidRPr="00BA4F7F" w:rsidRDefault="00000000">
      <w:pPr>
        <w:keepLines/>
        <w:spacing w:before="20" w:after="30"/>
        <w:jc w:val="center"/>
      </w:pPr>
      <w:r w:rsidRPr="00BA4F7F">
        <w:rPr>
          <w:noProof/>
        </w:rPr>
        <w:drawing>
          <wp:inline distT="0" distB="0" distL="0" distR="0" wp14:anchorId="197E7BC5" wp14:editId="245EEBCA">
            <wp:extent cx="5688000" cy="1119880"/>
            <wp:effectExtent l="0" t="0" r="0" b="0"/>
            <wp:docPr id="1690576321" name="Picture 1690576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1.png"/>
                    <pic:cNvPicPr/>
                  </pic:nvPicPr>
                  <pic:blipFill>
                    <a:blip r:embed="rId25"/>
                    <a:stretch>
                      <a:fillRect/>
                    </a:stretch>
                  </pic:blipFill>
                  <pic:spPr>
                    <a:xfrm>
                      <a:off x="0" y="0"/>
                      <a:ext cx="5688000" cy="1119880"/>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3969"/>
        <w:gridCol w:w="2154"/>
        <w:gridCol w:w="1531"/>
        <w:gridCol w:w="1361"/>
      </w:tblGrid>
      <w:tr w:rsidR="00537CA0" w:rsidRPr="00BA4F7F" w14:paraId="5775C184" w14:textId="77777777">
        <w:trPr>
          <w:cantSplit/>
          <w:tblHeader/>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56CA19D8" w14:textId="77777777" w:rsidR="00537CA0" w:rsidRPr="00BA4F7F" w:rsidRDefault="00000000">
            <w:pPr>
              <w:spacing w:after="0"/>
              <w:jc w:val="center"/>
            </w:pPr>
            <w:r w:rsidRPr="00BA4F7F">
              <w:rPr>
                <w:rFonts w:ascii="Aptos" w:hAnsi="Aptos"/>
                <w:b/>
                <w:color w:val="FFFFFF"/>
                <w:sz w:val="14"/>
              </w:rPr>
              <w:t>Składnik modelu</w:t>
            </w:r>
          </w:p>
        </w:tc>
        <w:tc>
          <w:tcPr>
            <w:tcW w:w="2154"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224E576D" w14:textId="77777777" w:rsidR="00537CA0" w:rsidRPr="00BA4F7F" w:rsidRDefault="00000000">
            <w:pPr>
              <w:spacing w:after="0"/>
              <w:jc w:val="center"/>
            </w:pPr>
            <w:r w:rsidRPr="00BA4F7F">
              <w:rPr>
                <w:rFonts w:ascii="Aptos" w:hAnsi="Aptos"/>
                <w:b/>
                <w:color w:val="FFFFFF"/>
                <w:sz w:val="14"/>
              </w:rPr>
              <w:t>Wartość / ocena 2025</w:t>
            </w:r>
          </w:p>
        </w:tc>
        <w:tc>
          <w:tcPr>
            <w:tcW w:w="153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327CAFEA" w14:textId="77777777" w:rsidR="00537CA0" w:rsidRPr="00BA4F7F" w:rsidRDefault="00000000">
            <w:pPr>
              <w:spacing w:after="0"/>
              <w:jc w:val="center"/>
            </w:pPr>
            <w:r w:rsidRPr="00BA4F7F">
              <w:rPr>
                <w:rFonts w:ascii="Aptos" w:hAnsi="Aptos"/>
                <w:b/>
                <w:color w:val="FFFFFF"/>
                <w:sz w:val="14"/>
              </w:rPr>
              <w:t>Punkty IRS</w:t>
            </w:r>
          </w:p>
        </w:tc>
        <w:tc>
          <w:tcPr>
            <w:tcW w:w="136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74756A23" w14:textId="77777777" w:rsidR="00537CA0" w:rsidRPr="00BA4F7F" w:rsidRDefault="00000000">
            <w:pPr>
              <w:spacing w:after="0"/>
              <w:jc w:val="center"/>
            </w:pPr>
            <w:r w:rsidRPr="00BA4F7F">
              <w:rPr>
                <w:rFonts w:ascii="Aptos" w:hAnsi="Aptos"/>
                <w:b/>
                <w:color w:val="FFFFFF"/>
                <w:sz w:val="14"/>
              </w:rPr>
              <w:t>Waga</w:t>
            </w:r>
          </w:p>
        </w:tc>
      </w:tr>
      <w:tr w:rsidR="00537CA0" w:rsidRPr="00BA4F7F" w14:paraId="6399112F"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5B8DC815" w14:textId="77777777" w:rsidR="00537CA0" w:rsidRPr="00BA4F7F" w:rsidRDefault="00000000">
            <w:pPr>
              <w:spacing w:after="0" w:line="228" w:lineRule="auto"/>
              <w:jc w:val="left"/>
            </w:pPr>
            <w:r w:rsidRPr="00BA4F7F">
              <w:rPr>
                <w:rFonts w:ascii="Aptos" w:hAnsi="Aptos"/>
                <w:b/>
                <w:color w:val="222222"/>
                <w:sz w:val="14"/>
              </w:rPr>
              <w:t>Deficyt sektora GG</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6941B361" w14:textId="77777777" w:rsidR="00537CA0" w:rsidRPr="00BA4F7F" w:rsidRDefault="00000000">
            <w:pPr>
              <w:spacing w:after="0" w:line="228" w:lineRule="auto"/>
              <w:jc w:val="center"/>
            </w:pPr>
            <w:r w:rsidRPr="00BA4F7F">
              <w:rPr>
                <w:rFonts w:ascii="Aptos" w:hAnsi="Aptos"/>
                <w:color w:val="222222"/>
                <w:sz w:val="14"/>
              </w:rPr>
              <w:t>−7,3% PKB</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88B83B5" w14:textId="77777777" w:rsidR="00537CA0" w:rsidRPr="00BA4F7F" w:rsidRDefault="00000000">
            <w:pPr>
              <w:spacing w:after="0" w:line="228" w:lineRule="auto"/>
              <w:jc w:val="center"/>
            </w:pPr>
            <w:r w:rsidRPr="00BA4F7F">
              <w:rPr>
                <w:rFonts w:ascii="Aptos" w:hAnsi="Aptos"/>
                <w:color w:val="222222"/>
                <w:sz w:val="14"/>
              </w:rPr>
              <w:t>27,0</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B4866B5" w14:textId="77777777" w:rsidR="00537CA0" w:rsidRPr="00BA4F7F" w:rsidRDefault="00000000">
            <w:pPr>
              <w:spacing w:after="0" w:line="228" w:lineRule="auto"/>
              <w:jc w:val="center"/>
            </w:pPr>
            <w:r w:rsidRPr="00BA4F7F">
              <w:rPr>
                <w:rFonts w:ascii="Aptos" w:hAnsi="Aptos"/>
                <w:color w:val="222222"/>
                <w:sz w:val="14"/>
              </w:rPr>
              <w:t>30%</w:t>
            </w:r>
          </w:p>
        </w:tc>
      </w:tr>
      <w:tr w:rsidR="00537CA0" w:rsidRPr="00BA4F7F" w14:paraId="6B7F890B"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2351357" w14:textId="77777777" w:rsidR="00537CA0" w:rsidRPr="00BA4F7F" w:rsidRDefault="00000000">
            <w:pPr>
              <w:spacing w:after="0" w:line="228" w:lineRule="auto"/>
              <w:jc w:val="left"/>
            </w:pPr>
            <w:r w:rsidRPr="00BA4F7F">
              <w:rPr>
                <w:rFonts w:ascii="Aptos" w:hAnsi="Aptos"/>
                <w:b/>
                <w:color w:val="222222"/>
                <w:sz w:val="14"/>
              </w:rPr>
              <w:t>Dług sektora GG</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4933AD39" w14:textId="77777777" w:rsidR="00537CA0" w:rsidRPr="00BA4F7F" w:rsidRDefault="00000000">
            <w:pPr>
              <w:spacing w:after="0" w:line="228" w:lineRule="auto"/>
              <w:jc w:val="center"/>
            </w:pPr>
            <w:r w:rsidRPr="00BA4F7F">
              <w:rPr>
                <w:rFonts w:ascii="Aptos" w:hAnsi="Aptos"/>
                <w:color w:val="222222"/>
                <w:sz w:val="14"/>
              </w:rPr>
              <w:t>59,7% PKB</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5E893B86" w14:textId="77777777" w:rsidR="00537CA0" w:rsidRPr="00BA4F7F" w:rsidRDefault="00000000">
            <w:pPr>
              <w:spacing w:after="0" w:line="228" w:lineRule="auto"/>
              <w:jc w:val="center"/>
            </w:pPr>
            <w:r w:rsidRPr="00BA4F7F">
              <w:rPr>
                <w:rFonts w:ascii="Aptos" w:hAnsi="Aptos"/>
                <w:color w:val="222222"/>
                <w:sz w:val="14"/>
              </w:rPr>
              <w:t>50,6</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51BD7006" w14:textId="77777777" w:rsidR="00537CA0" w:rsidRPr="00BA4F7F" w:rsidRDefault="00000000">
            <w:pPr>
              <w:spacing w:after="0" w:line="228" w:lineRule="auto"/>
              <w:jc w:val="center"/>
            </w:pPr>
            <w:r w:rsidRPr="00BA4F7F">
              <w:rPr>
                <w:rFonts w:ascii="Aptos" w:hAnsi="Aptos"/>
                <w:color w:val="222222"/>
                <w:sz w:val="14"/>
              </w:rPr>
              <w:t>30%</w:t>
            </w:r>
          </w:p>
        </w:tc>
      </w:tr>
      <w:tr w:rsidR="00537CA0" w:rsidRPr="00BA4F7F" w14:paraId="566BA062"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6B9564C" w14:textId="77777777" w:rsidR="00537CA0" w:rsidRPr="00BA4F7F" w:rsidRDefault="00000000">
            <w:pPr>
              <w:spacing w:after="0" w:line="228" w:lineRule="auto"/>
              <w:jc w:val="left"/>
            </w:pPr>
            <w:r w:rsidRPr="00BA4F7F">
              <w:rPr>
                <w:rFonts w:ascii="Aptos" w:hAnsi="Aptos"/>
                <w:b/>
                <w:color w:val="222222"/>
                <w:sz w:val="14"/>
              </w:rPr>
              <w:t>Dochody sektora GG</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5F305948" w14:textId="77777777" w:rsidR="00537CA0" w:rsidRPr="00BA4F7F" w:rsidRDefault="00000000">
            <w:pPr>
              <w:spacing w:after="0" w:line="228" w:lineRule="auto"/>
              <w:jc w:val="center"/>
            </w:pPr>
            <w:r w:rsidRPr="00BA4F7F">
              <w:rPr>
                <w:rFonts w:ascii="Aptos" w:hAnsi="Aptos"/>
                <w:color w:val="222222"/>
                <w:sz w:val="14"/>
              </w:rPr>
              <w:t>43,6% PKB</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5CDDF76C" w14:textId="77777777" w:rsidR="00537CA0" w:rsidRPr="00BA4F7F" w:rsidRDefault="00000000">
            <w:pPr>
              <w:spacing w:after="0" w:line="228" w:lineRule="auto"/>
              <w:jc w:val="center"/>
            </w:pPr>
            <w:r w:rsidRPr="00BA4F7F">
              <w:rPr>
                <w:rFonts w:ascii="Aptos" w:hAnsi="Aptos"/>
                <w:color w:val="222222"/>
                <w:sz w:val="14"/>
              </w:rPr>
              <w:t>91,6</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4A69C306" w14:textId="77777777" w:rsidR="00537CA0" w:rsidRPr="00BA4F7F" w:rsidRDefault="00000000">
            <w:pPr>
              <w:spacing w:after="0" w:line="228" w:lineRule="auto"/>
              <w:jc w:val="center"/>
            </w:pPr>
            <w:r w:rsidRPr="00BA4F7F">
              <w:rPr>
                <w:rFonts w:ascii="Aptos" w:hAnsi="Aptos"/>
                <w:color w:val="222222"/>
                <w:sz w:val="14"/>
              </w:rPr>
              <w:t>15%</w:t>
            </w:r>
          </w:p>
        </w:tc>
      </w:tr>
      <w:tr w:rsidR="00537CA0" w:rsidRPr="00BA4F7F" w14:paraId="02BFEFB9"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79F4BC52" w14:textId="77777777" w:rsidR="00537CA0" w:rsidRPr="00BA4F7F" w:rsidRDefault="00000000">
            <w:pPr>
              <w:spacing w:after="0" w:line="228" w:lineRule="auto"/>
              <w:jc w:val="left"/>
            </w:pPr>
            <w:r w:rsidRPr="00BA4F7F">
              <w:rPr>
                <w:rFonts w:ascii="Aptos" w:hAnsi="Aptos"/>
                <w:b/>
                <w:color w:val="222222"/>
                <w:sz w:val="14"/>
              </w:rPr>
              <w:t>Koszty obsługi długu SP</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3CE98522" w14:textId="77777777" w:rsidR="00537CA0" w:rsidRPr="00BA4F7F" w:rsidRDefault="00000000">
            <w:pPr>
              <w:spacing w:after="0" w:line="228" w:lineRule="auto"/>
              <w:jc w:val="center"/>
            </w:pPr>
            <w:r w:rsidRPr="00BA4F7F">
              <w:rPr>
                <w:rFonts w:ascii="Aptos" w:hAnsi="Aptos"/>
                <w:color w:val="222222"/>
                <w:sz w:val="14"/>
              </w:rPr>
              <w:t>1,87% PKB</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65A54031" w14:textId="77777777" w:rsidR="00537CA0" w:rsidRPr="00BA4F7F" w:rsidRDefault="00000000">
            <w:pPr>
              <w:spacing w:after="0" w:line="228" w:lineRule="auto"/>
              <w:jc w:val="center"/>
            </w:pPr>
            <w:r w:rsidRPr="00BA4F7F">
              <w:rPr>
                <w:rFonts w:ascii="Aptos" w:hAnsi="Aptos"/>
                <w:color w:val="222222"/>
                <w:sz w:val="14"/>
              </w:rPr>
              <w:t>58,9</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F9C85A6" w14:textId="77777777" w:rsidR="00537CA0" w:rsidRPr="00BA4F7F" w:rsidRDefault="00000000">
            <w:pPr>
              <w:spacing w:after="0" w:line="228" w:lineRule="auto"/>
              <w:jc w:val="center"/>
            </w:pPr>
            <w:r w:rsidRPr="00BA4F7F">
              <w:rPr>
                <w:rFonts w:ascii="Aptos" w:hAnsi="Aptos"/>
                <w:color w:val="222222"/>
                <w:sz w:val="14"/>
              </w:rPr>
              <w:t>25%</w:t>
            </w:r>
          </w:p>
        </w:tc>
      </w:tr>
    </w:tbl>
    <w:p w14:paraId="185C4B73" w14:textId="77777777" w:rsidR="00537CA0" w:rsidRPr="00BA4F7F" w:rsidRDefault="00537CA0">
      <w:pPr>
        <w:spacing w:after="20"/>
      </w:pPr>
    </w:p>
    <w:p w14:paraId="27C739F2" w14:textId="77777777" w:rsidR="00537CA0" w:rsidRPr="00BA4F7F" w:rsidRDefault="00000000">
      <w:pPr>
        <w:keepLines/>
        <w:spacing w:after="30" w:line="240" w:lineRule="auto"/>
      </w:pPr>
      <w:r w:rsidRPr="00BA4F7F">
        <w:rPr>
          <w:b/>
          <w:color w:val="1F4E79"/>
          <w:sz w:val="16"/>
        </w:rPr>
        <w:t xml:space="preserve">Funkcja w IRS i sposób liczenia. </w:t>
      </w:r>
      <w:proofErr w:type="spellStart"/>
      <w:r w:rsidRPr="00BA4F7F">
        <w:rPr>
          <w:color w:val="222222"/>
          <w:sz w:val="16"/>
        </w:rPr>
        <w:t>Subobszar</w:t>
      </w:r>
      <w:proofErr w:type="spellEnd"/>
      <w:r w:rsidRPr="00BA4F7F">
        <w:rPr>
          <w:color w:val="222222"/>
          <w:sz w:val="16"/>
        </w:rPr>
        <w:t xml:space="preserve"> mierzy przestrzeń fiskalną jako zasób bezpieczeństwa: zdolność do finansowania podstawowych usług, inwestycji i reakcji na kolejny szok bez utraty kontroli nad kosztem zobowiązań. Wynik jest średnią ważoną czterech wskaźników, przeliczanych na skalę 0–100 odcinkową interpolacją liniową. Dla deficytu i długu wyższa wartość obniża punktację; dochody opisują pojemność fiskalną, a koszty obsługi długu bieżące obciążenie budżetu.</w:t>
      </w:r>
    </w:p>
    <w:p w14:paraId="2106C81E" w14:textId="77777777" w:rsidR="00537CA0" w:rsidRPr="00BA4F7F" w:rsidRDefault="00000000">
      <w:pPr>
        <w:keepLines/>
        <w:spacing w:after="30" w:line="240" w:lineRule="auto"/>
      </w:pPr>
      <w:r w:rsidRPr="00BA4F7F">
        <w:rPr>
          <w:b/>
          <w:color w:val="1F4E79"/>
          <w:sz w:val="16"/>
        </w:rPr>
        <w:t xml:space="preserve">Diagnoza i kontekst 2020–2025. </w:t>
      </w:r>
      <w:r w:rsidRPr="00BA4F7F">
        <w:rPr>
          <w:color w:val="222222"/>
          <w:sz w:val="16"/>
        </w:rPr>
        <w:t>Wynik wzrósł z 58,1 pkt w 2020 r. do 78,9 pkt w 2021 r., gdy odbudowa aktywności, inflacja i dochody podatkowe poprawiły relacje fiskalne po pierwszym szoku pandemicznym. Następnie konsekwentnie obniżał się: do 73,8 pkt w 2022 r., 62,9 pkt w 2023 r., 57,2 pkt w 2024 r. i 51,7 pkt w 2025 r. W ostatnim roku wysoka punktacja dochodów sektora GG (91,6 pkt) nie równoważy deficytu na poziomie −7,3% PKB, który otrzymuje 27,0 pkt. Dług 59,7% PKB i koszt obsługi długu 1,87% PKB nie oznaczają utraty finansowania, lecz pokazują kumulację kosztów pandemii, osłon energetycznych, wzrostu wynagrodzeń publicznych, świadczeń oraz skokowego wysiłku obronnego.</w:t>
      </w:r>
    </w:p>
    <w:p w14:paraId="1C37DA27" w14:textId="77777777" w:rsidR="00537CA0" w:rsidRPr="00BA4F7F" w:rsidRDefault="00000000">
      <w:pPr>
        <w:keepLines/>
        <w:spacing w:after="30" w:line="240" w:lineRule="auto"/>
      </w:pPr>
      <w:r w:rsidRPr="00BA4F7F">
        <w:rPr>
          <w:b/>
          <w:color w:val="1F4E79"/>
          <w:sz w:val="16"/>
        </w:rPr>
        <w:t xml:space="preserve">Znaczenie dla racji stanu. </w:t>
      </w:r>
      <w:r w:rsidRPr="00BA4F7F">
        <w:rPr>
          <w:color w:val="222222"/>
          <w:sz w:val="16"/>
        </w:rPr>
        <w:t>Przestrzeń fiskalna jest rezerwą strategiczną podobną do zapasów materiałowych: jej wartość ujawnia się dopiero w następnym kryzysie. Słabszy wynik ogranicza możliwość równoległego finansowania modernizacji wojska, ochrony ludności, energetyki, zdrowia i odpowiedzi na starzenie się populacji. Szczególnie istotne jest połączenie z Projektami strategicznymi: każda nowa infrastruktura tworzy wieloletnie koszty personelu, energii, serwisu i odtworzenia, które nie są widoczne w samym CAPEX.</w:t>
      </w:r>
    </w:p>
    <w:p w14:paraId="25B8C6F0" w14:textId="77777777" w:rsidR="00537CA0" w:rsidRPr="00BA4F7F" w:rsidRDefault="00000000">
      <w:pPr>
        <w:keepLines/>
        <w:spacing w:after="80" w:line="250" w:lineRule="auto"/>
      </w:pPr>
      <w:r w:rsidRPr="00BA4F7F">
        <w:rPr>
          <w:color w:val="222222"/>
          <w:sz w:val="18"/>
        </w:rPr>
        <w:t>Wniosek. Jednocześnie wysoka zdolność poboru dochodów i bardzo wysoki deficyt wskazują, że problemem nie jest wyłącznie „za mało pieniędzy”, lecz tempo narastania trwałych zobowiązań. Państwo może długo zachowywać wypłacalność, a mimo to tracić opcję strategicznego wyboru, ponieważ coraz większa część przyszłych dochodów jest z góry przeznaczona na wydatki sztywne i obsługę wcześniej podjętych decyzji.</w:t>
      </w:r>
    </w:p>
    <w:tbl>
      <w:tblPr>
        <w:tblW w:w="0" w:type="auto"/>
        <w:jc w:val="center"/>
        <w:tblLayout w:type="fixed"/>
        <w:tblLook w:val="04A0" w:firstRow="1" w:lastRow="0" w:firstColumn="1" w:lastColumn="0" w:noHBand="0" w:noVBand="1"/>
      </w:tblPr>
      <w:tblGrid>
        <w:gridCol w:w="1474"/>
        <w:gridCol w:w="7540"/>
      </w:tblGrid>
      <w:tr w:rsidR="00537CA0" w:rsidRPr="00BA4F7F" w14:paraId="0AE7B0F8"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3CB4A494"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791A8EDD" w14:textId="77777777" w:rsidR="00537CA0" w:rsidRPr="00BA4F7F" w:rsidRDefault="00000000">
            <w:pPr>
              <w:spacing w:after="0" w:line="240" w:lineRule="auto"/>
              <w:jc w:val="left"/>
            </w:pPr>
            <w:r w:rsidRPr="00BA4F7F">
              <w:rPr>
                <w:color w:val="222222"/>
                <w:sz w:val="15"/>
              </w:rPr>
              <w:t>Przywrócenie wiarygodnej średniookresowej ścieżki fiskalnej, połączone z przeglądami efektywności wydatków, pełną prezentacją zobowiązań pozabudżetowych i obowiązkowym rachunkiem kosztu całego cyklu życia aktywów strategicznych.</w:t>
            </w:r>
          </w:p>
        </w:tc>
      </w:tr>
      <w:tr w:rsidR="00537CA0" w:rsidRPr="00BA4F7F" w14:paraId="15B9B0AA"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757CD728"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51571B28" w14:textId="77777777" w:rsidR="00537CA0" w:rsidRPr="00BA4F7F" w:rsidRDefault="00000000">
            <w:pPr>
              <w:spacing w:after="0" w:line="240" w:lineRule="auto"/>
              <w:jc w:val="left"/>
            </w:pPr>
            <w:r w:rsidRPr="00BA4F7F">
              <w:rPr>
                <w:color w:val="222222"/>
                <w:sz w:val="15"/>
              </w:rPr>
              <w:t>Trwały spadek deficytu bez wypierania inwestycji o najwyższej wartości państwowej; stabilizacja relacji długu i kosztów obsługi; publikowanie kosztów utrzymania nowych zdolności w planowaniu wieloletnim.</w:t>
            </w:r>
          </w:p>
        </w:tc>
      </w:tr>
    </w:tbl>
    <w:p w14:paraId="0FBB2927" w14:textId="77777777" w:rsidR="00537CA0" w:rsidRPr="00BA4F7F" w:rsidRDefault="00537CA0">
      <w:pPr>
        <w:pStyle w:val="SourceNote"/>
        <w:keepLines/>
        <w:spacing w:before="30" w:after="0"/>
        <w:rPr>
          <w:lang w:val="pl-PL"/>
        </w:rPr>
      </w:pPr>
    </w:p>
    <w:p w14:paraId="1A2663E9" w14:textId="77777777" w:rsidR="00537CA0" w:rsidRPr="00BA4F7F" w:rsidRDefault="00000000">
      <w:pPr>
        <w:spacing w:after="0"/>
      </w:pPr>
      <w:r w:rsidRPr="00BA4F7F">
        <w:br w:type="page"/>
      </w:r>
    </w:p>
    <w:p w14:paraId="4DD39199" w14:textId="77777777" w:rsidR="00537CA0" w:rsidRPr="00BA4F7F" w:rsidRDefault="00000000">
      <w:pPr>
        <w:pStyle w:val="Nagwek2"/>
        <w:spacing w:before="0" w:after="60"/>
      </w:pPr>
      <w:r w:rsidRPr="00BA4F7F">
        <w:rPr>
          <w:rFonts w:ascii="Aptos Display" w:hAnsi="Aptos Display"/>
          <w:sz w:val="30"/>
        </w:rPr>
        <w:lastRenderedPageBreak/>
        <w:t>14A.2. Równowaga zewnętrzna</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2EE8FBAA"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48857E03" w14:textId="77777777" w:rsidR="00537CA0" w:rsidRPr="00BA4F7F" w:rsidRDefault="00000000">
            <w:pPr>
              <w:spacing w:after="0" w:line="240" w:lineRule="auto"/>
              <w:jc w:val="left"/>
            </w:pPr>
            <w:r w:rsidRPr="00BA4F7F">
              <w:rPr>
                <w:rFonts w:ascii="Aptos" w:hAnsi="Aptos"/>
                <w:b/>
                <w:color w:val="FFFFFF"/>
                <w:sz w:val="14"/>
              </w:rPr>
              <w:t>WYNIK 2025</w:t>
            </w:r>
            <w:r w:rsidRPr="00BA4F7F">
              <w:rPr>
                <w:rFonts w:ascii="Aptos" w:hAnsi="Aptos"/>
                <w:b/>
                <w:color w:val="FFFFFF"/>
                <w:sz w:val="14"/>
              </w:rPr>
              <w:br/>
            </w:r>
            <w:r w:rsidRPr="00BA4F7F">
              <w:rPr>
                <w:rFonts w:ascii="Aptos" w:hAnsi="Aptos"/>
                <w:b/>
                <w:color w:val="FFFFFF"/>
                <w:sz w:val="34"/>
              </w:rPr>
              <w:t>80,9</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4440145A" w14:textId="77777777" w:rsidR="00537CA0" w:rsidRPr="00BA4F7F" w:rsidRDefault="00000000">
            <w:pPr>
              <w:spacing w:after="0" w:line="240" w:lineRule="auto"/>
              <w:jc w:val="left"/>
            </w:pPr>
            <w:r w:rsidRPr="00BA4F7F">
              <w:rPr>
                <w:rFonts w:ascii="Aptos" w:hAnsi="Aptos"/>
                <w:b/>
                <w:color w:val="FFFFFF"/>
                <w:sz w:val="14"/>
              </w:rPr>
              <w:t>ZMIANA 2020–2025</w:t>
            </w:r>
            <w:r w:rsidRPr="00BA4F7F">
              <w:rPr>
                <w:rFonts w:ascii="Aptos" w:hAnsi="Aptos"/>
                <w:b/>
                <w:color w:val="FFFFFF"/>
                <w:sz w:val="14"/>
              </w:rPr>
              <w:br/>
            </w:r>
            <w:r w:rsidRPr="00BA4F7F">
              <w:rPr>
                <w:rFonts w:ascii="Aptos" w:hAnsi="Aptos"/>
                <w:b/>
                <w:color w:val="FFFFFF"/>
                <w:sz w:val="34"/>
              </w:rPr>
              <w:t>+2,0</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6959A3AC"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wysoka odporność / silna zdolność</w:t>
            </w:r>
          </w:p>
        </w:tc>
      </w:tr>
    </w:tbl>
    <w:p w14:paraId="3B0B7E1A" w14:textId="77777777" w:rsidR="00537CA0" w:rsidRPr="00BA4F7F" w:rsidRDefault="00000000">
      <w:pPr>
        <w:keepLines/>
        <w:spacing w:before="20" w:after="30"/>
        <w:jc w:val="center"/>
      </w:pPr>
      <w:r w:rsidRPr="00BA4F7F">
        <w:rPr>
          <w:noProof/>
        </w:rPr>
        <w:drawing>
          <wp:inline distT="0" distB="0" distL="0" distR="0" wp14:anchorId="68887933" wp14:editId="569E8B0B">
            <wp:extent cx="5688000" cy="1119880"/>
            <wp:effectExtent l="0" t="0" r="0" b="0"/>
            <wp:docPr id="1690576322" name="Picture 1690576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2.png"/>
                    <pic:cNvPicPr/>
                  </pic:nvPicPr>
                  <pic:blipFill>
                    <a:blip r:embed="rId26"/>
                    <a:stretch>
                      <a:fillRect/>
                    </a:stretch>
                  </pic:blipFill>
                  <pic:spPr>
                    <a:xfrm>
                      <a:off x="0" y="0"/>
                      <a:ext cx="5688000" cy="1119880"/>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3969"/>
        <w:gridCol w:w="2154"/>
        <w:gridCol w:w="1531"/>
        <w:gridCol w:w="1361"/>
      </w:tblGrid>
      <w:tr w:rsidR="00537CA0" w:rsidRPr="00BA4F7F" w14:paraId="1FF28A44" w14:textId="77777777">
        <w:trPr>
          <w:cantSplit/>
          <w:tblHeader/>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42F18103" w14:textId="77777777" w:rsidR="00537CA0" w:rsidRPr="00BA4F7F" w:rsidRDefault="00000000">
            <w:pPr>
              <w:spacing w:after="0"/>
              <w:jc w:val="center"/>
            </w:pPr>
            <w:r w:rsidRPr="00BA4F7F">
              <w:rPr>
                <w:rFonts w:ascii="Aptos" w:hAnsi="Aptos"/>
                <w:b/>
                <w:color w:val="FFFFFF"/>
                <w:sz w:val="14"/>
              </w:rPr>
              <w:t>Składnik modelu</w:t>
            </w:r>
          </w:p>
        </w:tc>
        <w:tc>
          <w:tcPr>
            <w:tcW w:w="2154"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45EF3A90" w14:textId="77777777" w:rsidR="00537CA0" w:rsidRPr="00BA4F7F" w:rsidRDefault="00000000">
            <w:pPr>
              <w:spacing w:after="0"/>
              <w:jc w:val="center"/>
            </w:pPr>
            <w:r w:rsidRPr="00BA4F7F">
              <w:rPr>
                <w:rFonts w:ascii="Aptos" w:hAnsi="Aptos"/>
                <w:b/>
                <w:color w:val="FFFFFF"/>
                <w:sz w:val="14"/>
              </w:rPr>
              <w:t>Wartość / ocena 2025</w:t>
            </w:r>
          </w:p>
        </w:tc>
        <w:tc>
          <w:tcPr>
            <w:tcW w:w="153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05A6846D" w14:textId="77777777" w:rsidR="00537CA0" w:rsidRPr="00BA4F7F" w:rsidRDefault="00000000">
            <w:pPr>
              <w:spacing w:after="0"/>
              <w:jc w:val="center"/>
            </w:pPr>
            <w:r w:rsidRPr="00BA4F7F">
              <w:rPr>
                <w:rFonts w:ascii="Aptos" w:hAnsi="Aptos"/>
                <w:b/>
                <w:color w:val="FFFFFF"/>
                <w:sz w:val="14"/>
              </w:rPr>
              <w:t>Punkty IRS</w:t>
            </w:r>
          </w:p>
        </w:tc>
        <w:tc>
          <w:tcPr>
            <w:tcW w:w="136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60330277" w14:textId="77777777" w:rsidR="00537CA0" w:rsidRPr="00BA4F7F" w:rsidRDefault="00000000">
            <w:pPr>
              <w:spacing w:after="0"/>
              <w:jc w:val="center"/>
            </w:pPr>
            <w:r w:rsidRPr="00BA4F7F">
              <w:rPr>
                <w:rFonts w:ascii="Aptos" w:hAnsi="Aptos"/>
                <w:b/>
                <w:color w:val="FFFFFF"/>
                <w:sz w:val="14"/>
              </w:rPr>
              <w:t>Waga</w:t>
            </w:r>
          </w:p>
        </w:tc>
      </w:tr>
      <w:tr w:rsidR="00537CA0" w:rsidRPr="00BA4F7F" w14:paraId="3B251A2B"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6AF0FEC" w14:textId="77777777" w:rsidR="00537CA0" w:rsidRPr="00BA4F7F" w:rsidRDefault="00000000">
            <w:pPr>
              <w:spacing w:after="0" w:line="228" w:lineRule="auto"/>
              <w:jc w:val="left"/>
            </w:pPr>
            <w:r w:rsidRPr="00BA4F7F">
              <w:rPr>
                <w:rFonts w:ascii="Aptos" w:hAnsi="Aptos"/>
                <w:b/>
                <w:color w:val="222222"/>
                <w:sz w:val="14"/>
              </w:rPr>
              <w:t>Rachunek bieżący</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5029391" w14:textId="77777777" w:rsidR="00537CA0" w:rsidRPr="00BA4F7F" w:rsidRDefault="00000000">
            <w:pPr>
              <w:spacing w:after="0" w:line="228" w:lineRule="auto"/>
              <w:jc w:val="center"/>
            </w:pPr>
            <w:r w:rsidRPr="00BA4F7F">
              <w:rPr>
                <w:rFonts w:ascii="Aptos" w:hAnsi="Aptos"/>
                <w:color w:val="222222"/>
                <w:sz w:val="14"/>
              </w:rPr>
              <w:t>−0,86% PKB</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EE422C6" w14:textId="77777777" w:rsidR="00537CA0" w:rsidRPr="00BA4F7F" w:rsidRDefault="00000000">
            <w:pPr>
              <w:spacing w:after="0" w:line="228" w:lineRule="auto"/>
              <w:jc w:val="center"/>
            </w:pPr>
            <w:r w:rsidRPr="00BA4F7F">
              <w:rPr>
                <w:rFonts w:ascii="Aptos" w:hAnsi="Aptos"/>
                <w:color w:val="222222"/>
                <w:sz w:val="14"/>
              </w:rPr>
              <w:t>71,4</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11704F0" w14:textId="77777777" w:rsidR="00537CA0" w:rsidRPr="00BA4F7F" w:rsidRDefault="00000000">
            <w:pPr>
              <w:spacing w:after="0" w:line="228" w:lineRule="auto"/>
              <w:jc w:val="center"/>
            </w:pPr>
            <w:r w:rsidRPr="00BA4F7F">
              <w:rPr>
                <w:rFonts w:ascii="Aptos" w:hAnsi="Aptos"/>
                <w:color w:val="222222"/>
                <w:sz w:val="14"/>
              </w:rPr>
              <w:t>30%</w:t>
            </w:r>
          </w:p>
        </w:tc>
      </w:tr>
      <w:tr w:rsidR="00537CA0" w:rsidRPr="00BA4F7F" w14:paraId="6AD28213"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1969B931" w14:textId="77777777" w:rsidR="00537CA0" w:rsidRPr="00BA4F7F" w:rsidRDefault="00000000">
            <w:pPr>
              <w:spacing w:after="0" w:line="228" w:lineRule="auto"/>
              <w:jc w:val="left"/>
            </w:pPr>
            <w:r w:rsidRPr="00BA4F7F">
              <w:rPr>
                <w:rFonts w:ascii="Aptos" w:hAnsi="Aptos"/>
                <w:b/>
                <w:color w:val="222222"/>
                <w:sz w:val="14"/>
              </w:rPr>
              <w:t>Pozycja inwestycyjna netto</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7F250EA" w14:textId="77777777" w:rsidR="00537CA0" w:rsidRPr="00BA4F7F" w:rsidRDefault="00000000">
            <w:pPr>
              <w:spacing w:after="0" w:line="228" w:lineRule="auto"/>
              <w:jc w:val="center"/>
            </w:pPr>
            <w:r w:rsidRPr="00BA4F7F">
              <w:rPr>
                <w:rFonts w:ascii="Aptos" w:hAnsi="Aptos"/>
                <w:color w:val="222222"/>
                <w:sz w:val="14"/>
              </w:rPr>
              <w:t>−29,69% PKB</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7616D8C0" w14:textId="77777777" w:rsidR="00537CA0" w:rsidRPr="00BA4F7F" w:rsidRDefault="00000000">
            <w:pPr>
              <w:spacing w:after="0" w:line="228" w:lineRule="auto"/>
              <w:jc w:val="center"/>
            </w:pPr>
            <w:r w:rsidRPr="00BA4F7F">
              <w:rPr>
                <w:rFonts w:ascii="Aptos" w:hAnsi="Aptos"/>
                <w:color w:val="222222"/>
                <w:sz w:val="14"/>
              </w:rPr>
              <w:t>87,1</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65864358" w14:textId="77777777" w:rsidR="00537CA0" w:rsidRPr="00BA4F7F" w:rsidRDefault="00000000">
            <w:pPr>
              <w:spacing w:after="0" w:line="228" w:lineRule="auto"/>
              <w:jc w:val="center"/>
            </w:pPr>
            <w:r w:rsidRPr="00BA4F7F">
              <w:rPr>
                <w:rFonts w:ascii="Aptos" w:hAnsi="Aptos"/>
                <w:color w:val="222222"/>
                <w:sz w:val="14"/>
              </w:rPr>
              <w:t>30%</w:t>
            </w:r>
          </w:p>
        </w:tc>
      </w:tr>
      <w:tr w:rsidR="00537CA0" w:rsidRPr="00BA4F7F" w14:paraId="34DE4395"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28D4FD74" w14:textId="77777777" w:rsidR="00537CA0" w:rsidRPr="00BA4F7F" w:rsidRDefault="00000000">
            <w:pPr>
              <w:spacing w:after="0" w:line="228" w:lineRule="auto"/>
              <w:jc w:val="left"/>
            </w:pPr>
            <w:r w:rsidRPr="00BA4F7F">
              <w:rPr>
                <w:rFonts w:ascii="Aptos" w:hAnsi="Aptos"/>
                <w:b/>
                <w:color w:val="222222"/>
                <w:sz w:val="14"/>
              </w:rPr>
              <w:t>Zadłużenie zagraniczne brutto</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0E0C0A02" w14:textId="77777777" w:rsidR="00537CA0" w:rsidRPr="00BA4F7F" w:rsidRDefault="00000000">
            <w:pPr>
              <w:spacing w:after="0" w:line="228" w:lineRule="auto"/>
              <w:jc w:val="center"/>
            </w:pPr>
            <w:r w:rsidRPr="00BA4F7F">
              <w:rPr>
                <w:rFonts w:ascii="Aptos" w:hAnsi="Aptos"/>
                <w:color w:val="222222"/>
                <w:sz w:val="14"/>
              </w:rPr>
              <w:t>50,5% PKB</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EE8B169" w14:textId="77777777" w:rsidR="00537CA0" w:rsidRPr="00BA4F7F" w:rsidRDefault="00000000">
            <w:pPr>
              <w:spacing w:after="0" w:line="228" w:lineRule="auto"/>
              <w:jc w:val="center"/>
            </w:pPr>
            <w:r w:rsidRPr="00BA4F7F">
              <w:rPr>
                <w:rFonts w:ascii="Aptos" w:hAnsi="Aptos"/>
                <w:color w:val="222222"/>
                <w:sz w:val="14"/>
              </w:rPr>
              <w:t>79,3</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FEAFC4F" w14:textId="77777777" w:rsidR="00537CA0" w:rsidRPr="00BA4F7F" w:rsidRDefault="00000000">
            <w:pPr>
              <w:spacing w:after="0" w:line="228" w:lineRule="auto"/>
              <w:jc w:val="center"/>
            </w:pPr>
            <w:r w:rsidRPr="00BA4F7F">
              <w:rPr>
                <w:rFonts w:ascii="Aptos" w:hAnsi="Aptos"/>
                <w:color w:val="222222"/>
                <w:sz w:val="14"/>
              </w:rPr>
              <w:t>25%</w:t>
            </w:r>
          </w:p>
        </w:tc>
      </w:tr>
      <w:tr w:rsidR="00537CA0" w:rsidRPr="00BA4F7F" w14:paraId="48E7E9F8"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4DD37FA6" w14:textId="77777777" w:rsidR="00537CA0" w:rsidRPr="00BA4F7F" w:rsidRDefault="00000000">
            <w:pPr>
              <w:spacing w:after="0" w:line="228" w:lineRule="auto"/>
              <w:jc w:val="left"/>
            </w:pPr>
            <w:r w:rsidRPr="00BA4F7F">
              <w:rPr>
                <w:rFonts w:ascii="Aptos" w:hAnsi="Aptos"/>
                <w:b/>
                <w:color w:val="222222"/>
                <w:sz w:val="14"/>
              </w:rPr>
              <w:t>Aktywa rezerwowe</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45D4D8F3" w14:textId="77777777" w:rsidR="00537CA0" w:rsidRPr="00BA4F7F" w:rsidRDefault="00000000">
            <w:pPr>
              <w:spacing w:after="0" w:line="228" w:lineRule="auto"/>
              <w:jc w:val="center"/>
            </w:pPr>
            <w:r w:rsidRPr="00BA4F7F">
              <w:rPr>
                <w:rFonts w:ascii="Aptos" w:hAnsi="Aptos"/>
                <w:color w:val="222222"/>
                <w:sz w:val="14"/>
              </w:rPr>
              <w:t>25,08% PKB</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1193AD5C" w14:textId="77777777" w:rsidR="00537CA0" w:rsidRPr="00BA4F7F" w:rsidRDefault="00000000">
            <w:pPr>
              <w:spacing w:after="0" w:line="228" w:lineRule="auto"/>
              <w:jc w:val="center"/>
            </w:pPr>
            <w:r w:rsidRPr="00BA4F7F">
              <w:rPr>
                <w:rFonts w:ascii="Aptos" w:hAnsi="Aptos"/>
                <w:color w:val="222222"/>
                <w:sz w:val="14"/>
              </w:rPr>
              <w:t>90,2</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696E560C" w14:textId="77777777" w:rsidR="00537CA0" w:rsidRPr="00BA4F7F" w:rsidRDefault="00000000">
            <w:pPr>
              <w:spacing w:after="0" w:line="228" w:lineRule="auto"/>
              <w:jc w:val="center"/>
            </w:pPr>
            <w:r w:rsidRPr="00BA4F7F">
              <w:rPr>
                <w:rFonts w:ascii="Aptos" w:hAnsi="Aptos"/>
                <w:color w:val="222222"/>
                <w:sz w:val="14"/>
              </w:rPr>
              <w:t>15%</w:t>
            </w:r>
          </w:p>
        </w:tc>
      </w:tr>
    </w:tbl>
    <w:p w14:paraId="0407A03F" w14:textId="77777777" w:rsidR="00537CA0" w:rsidRPr="00BA4F7F" w:rsidRDefault="00537CA0">
      <w:pPr>
        <w:spacing w:after="20"/>
      </w:pPr>
    </w:p>
    <w:p w14:paraId="339B3980" w14:textId="77777777" w:rsidR="00537CA0" w:rsidRPr="00BA4F7F" w:rsidRDefault="00000000">
      <w:pPr>
        <w:keepLines/>
        <w:spacing w:after="30" w:line="240" w:lineRule="auto"/>
      </w:pPr>
      <w:r w:rsidRPr="00BA4F7F">
        <w:rPr>
          <w:b/>
          <w:color w:val="1F4E79"/>
          <w:sz w:val="16"/>
        </w:rPr>
        <w:t xml:space="preserve">Funkcja w IRS i sposób liczenia. </w:t>
      </w:r>
      <w:proofErr w:type="spellStart"/>
      <w:r w:rsidRPr="00BA4F7F">
        <w:rPr>
          <w:color w:val="222222"/>
          <w:sz w:val="16"/>
        </w:rPr>
        <w:t>Subobszar</w:t>
      </w:r>
      <w:proofErr w:type="spellEnd"/>
      <w:r w:rsidRPr="00BA4F7F">
        <w:rPr>
          <w:color w:val="222222"/>
          <w:sz w:val="16"/>
        </w:rPr>
        <w:t xml:space="preserve"> opisuje odporność gospodarki na presję kursową, odpływ kapitału, zaburzenia handlu i pogorszenie warunków finansowania. Cztery miary są normalizowane funkcjami odcinkowo-liniowymi i agregowane wagami 30/30/25/15. Model premiuje umiarkowanie korzystny rachunek bieżący, mniej ujemną międzynarodową pozycję inwestycyjną netto, niższe zadłużenie zagraniczne i wyższe rezerwy; nadmierna nadwyżka bieżąca nie jest traktowana jako jedyny wzorzec sukcesu.</w:t>
      </w:r>
    </w:p>
    <w:p w14:paraId="64F9A835" w14:textId="77777777" w:rsidR="00537CA0" w:rsidRPr="00BA4F7F" w:rsidRDefault="00000000">
      <w:pPr>
        <w:keepLines/>
        <w:spacing w:after="30" w:line="240" w:lineRule="auto"/>
      </w:pPr>
      <w:r w:rsidRPr="00BA4F7F">
        <w:rPr>
          <w:b/>
          <w:color w:val="1F4E79"/>
          <w:sz w:val="16"/>
        </w:rPr>
        <w:t xml:space="preserve">Diagnoza i kontekst 2020–2025. </w:t>
      </w:r>
      <w:r w:rsidRPr="00BA4F7F">
        <w:rPr>
          <w:color w:val="222222"/>
          <w:sz w:val="16"/>
        </w:rPr>
        <w:t>Wynik pozostaje wysoki w całym okresie: 78,9 pkt w 2020 r., 72,7–73,5 pkt w latach 2021–2022, maksimum 85,3 pkt w 2023 r., 84,3 pkt w 2024 r. i 80,9 pkt w 2025 r. Gospodarka przeszła przez pandemiczne załamanie handlu, szok cen energii po agresji Rosji i zmianę kierunków importu bez kryzysu bilansu płatniczego. Niewielki deficyt rachunku bieżącego jest równoważony przez rezerwy odpowiadające około jednej czwartej PKB, umiarkowane zadłużenie zagraniczne oraz pozycję inwestycyjną lepszą niż w 2020 r. Spadek od maksimum z 2023 r. jest korektą bufora, nie sygnałem utraty zdolności do finansowania zewnętrznego.</w:t>
      </w:r>
    </w:p>
    <w:p w14:paraId="58B6E8BF" w14:textId="77777777" w:rsidR="00537CA0" w:rsidRPr="00BA4F7F" w:rsidRDefault="00000000">
      <w:pPr>
        <w:keepLines/>
        <w:spacing w:after="30" w:line="240" w:lineRule="auto"/>
      </w:pPr>
      <w:r w:rsidRPr="00BA4F7F">
        <w:rPr>
          <w:b/>
          <w:color w:val="1F4E79"/>
          <w:sz w:val="16"/>
        </w:rPr>
        <w:t xml:space="preserve">Znaczenie dla racji stanu. </w:t>
      </w:r>
      <w:r w:rsidRPr="00BA4F7F">
        <w:rPr>
          <w:color w:val="222222"/>
          <w:sz w:val="16"/>
        </w:rPr>
        <w:t xml:space="preserve">Bufor zewnętrzny zwiększa swobodę prowadzenia polityki w warunkach wojny, kryzysu energetycznego i napięć handlowych. Jego wartość zależy jednak od struktury gospodarki: importowanych technologii, paliw, komponentów obronnych i zagranicznej własności aktywów. Wysoka ocena </w:t>
      </w:r>
      <w:proofErr w:type="spellStart"/>
      <w:r w:rsidRPr="00BA4F7F">
        <w:rPr>
          <w:color w:val="222222"/>
          <w:sz w:val="16"/>
        </w:rPr>
        <w:t>makrofinansowa</w:t>
      </w:r>
      <w:proofErr w:type="spellEnd"/>
      <w:r w:rsidRPr="00BA4F7F">
        <w:rPr>
          <w:color w:val="222222"/>
          <w:sz w:val="16"/>
        </w:rPr>
        <w:t xml:space="preserve"> nie usuwa zależności sektorowych, które mogą ujawnić się jako wąskie gardła mimo stabilnego kursu i rezerw.</w:t>
      </w:r>
    </w:p>
    <w:p w14:paraId="7C0BCC03" w14:textId="77777777" w:rsidR="00537CA0" w:rsidRPr="00BA4F7F" w:rsidRDefault="00000000">
      <w:pPr>
        <w:keepLines/>
        <w:spacing w:after="80" w:line="250" w:lineRule="auto"/>
      </w:pPr>
      <w:r w:rsidRPr="00BA4F7F">
        <w:rPr>
          <w:color w:val="222222"/>
          <w:sz w:val="18"/>
        </w:rPr>
        <w:t>Wniosek. Równowaga zewnętrzna może być wysoka równocześnie z niską stopą inwestycji krajowych. Oznacza to, że Polska jest relatywnie dobrze zabezpieczona przed nagłym odpływem finansowania, ale niekoniecznie wykorzystuje tę stabilność do szybkiego budowania własnego kapitału, technologii i eksportu o wysokiej wartości dodanej. Bufor chroni przed kryzysem; sam nie tworzy przewagi rozwojowej.</w:t>
      </w:r>
    </w:p>
    <w:tbl>
      <w:tblPr>
        <w:tblW w:w="0" w:type="auto"/>
        <w:jc w:val="center"/>
        <w:tblLayout w:type="fixed"/>
        <w:tblLook w:val="04A0" w:firstRow="1" w:lastRow="0" w:firstColumn="1" w:lastColumn="0" w:noHBand="0" w:noVBand="1"/>
      </w:tblPr>
      <w:tblGrid>
        <w:gridCol w:w="1474"/>
        <w:gridCol w:w="7540"/>
      </w:tblGrid>
      <w:tr w:rsidR="00537CA0" w:rsidRPr="00BA4F7F" w14:paraId="471E2EBF"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6B9E8D1E"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3C98A5D2" w14:textId="77777777" w:rsidR="00537CA0" w:rsidRPr="00BA4F7F" w:rsidRDefault="00000000">
            <w:pPr>
              <w:spacing w:after="0" w:line="240" w:lineRule="auto"/>
              <w:jc w:val="left"/>
            </w:pPr>
            <w:r w:rsidRPr="00BA4F7F">
              <w:rPr>
                <w:color w:val="222222"/>
                <w:sz w:val="15"/>
              </w:rPr>
              <w:t>Utrzymanie adekwatnych rezerw i umiarkowanego zadłużenia zagranicznego przy równoczesnym zwiększaniu krajowej wartości dodanej eksportu oraz ograniczaniu krytycznych zależności technologicznych i surowcowych.</w:t>
            </w:r>
          </w:p>
        </w:tc>
      </w:tr>
      <w:tr w:rsidR="00537CA0" w:rsidRPr="00BA4F7F" w14:paraId="3D541C2B"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6BF43DD6"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13F51C87" w14:textId="77777777" w:rsidR="00537CA0" w:rsidRPr="00BA4F7F" w:rsidRDefault="00000000">
            <w:pPr>
              <w:spacing w:after="0" w:line="240" w:lineRule="auto"/>
              <w:jc w:val="left"/>
            </w:pPr>
            <w:r w:rsidRPr="00BA4F7F">
              <w:rPr>
                <w:color w:val="222222"/>
                <w:sz w:val="15"/>
              </w:rPr>
              <w:t>Stabilny rachunek bieżący, dalsza poprawa pozycji inwestycyjnej netto, utrzymanie rezerw i zadłużenia w bezpiecznych relacjach oraz wzrost udziału krajowej wartości dodanej w eksporcie.</w:t>
            </w:r>
          </w:p>
        </w:tc>
      </w:tr>
    </w:tbl>
    <w:p w14:paraId="5EC96F24" w14:textId="77777777" w:rsidR="00537CA0" w:rsidRPr="00BA4F7F" w:rsidRDefault="00000000">
      <w:pPr>
        <w:spacing w:after="0"/>
      </w:pPr>
      <w:r w:rsidRPr="00BA4F7F">
        <w:br w:type="page"/>
      </w:r>
    </w:p>
    <w:p w14:paraId="70B9A9E4" w14:textId="77777777" w:rsidR="00537CA0" w:rsidRPr="00BA4F7F" w:rsidRDefault="00000000">
      <w:pPr>
        <w:pStyle w:val="Nagwek2"/>
        <w:spacing w:before="0" w:after="60"/>
      </w:pPr>
      <w:r w:rsidRPr="00BA4F7F">
        <w:rPr>
          <w:rFonts w:ascii="Aptos Display" w:hAnsi="Aptos Display"/>
          <w:sz w:val="30"/>
        </w:rPr>
        <w:lastRenderedPageBreak/>
        <w:t>14A.3. Inwestycje</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3204066A"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1DB78CA9" w14:textId="77777777" w:rsidR="00537CA0" w:rsidRPr="00BA4F7F" w:rsidRDefault="00000000">
            <w:pPr>
              <w:spacing w:after="0" w:line="240" w:lineRule="auto"/>
              <w:jc w:val="left"/>
            </w:pPr>
            <w:r w:rsidRPr="00BA4F7F">
              <w:rPr>
                <w:rFonts w:ascii="Aptos" w:hAnsi="Aptos"/>
                <w:b/>
                <w:color w:val="FFFFFF"/>
                <w:sz w:val="14"/>
              </w:rPr>
              <w:t>WYNIK 2025</w:t>
            </w:r>
            <w:r w:rsidRPr="00BA4F7F">
              <w:rPr>
                <w:rFonts w:ascii="Aptos" w:hAnsi="Aptos"/>
                <w:b/>
                <w:color w:val="FFFFFF"/>
                <w:sz w:val="14"/>
              </w:rPr>
              <w:br/>
            </w:r>
            <w:r w:rsidRPr="00BA4F7F">
              <w:rPr>
                <w:rFonts w:ascii="Aptos" w:hAnsi="Aptos"/>
                <w:b/>
                <w:color w:val="FFFFFF"/>
                <w:sz w:val="34"/>
              </w:rPr>
              <w:t>50,0</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259BFA8D" w14:textId="77777777" w:rsidR="00537CA0" w:rsidRPr="00BA4F7F" w:rsidRDefault="00000000">
            <w:pPr>
              <w:spacing w:after="0" w:line="240" w:lineRule="auto"/>
              <w:jc w:val="left"/>
            </w:pPr>
            <w:r w:rsidRPr="00BA4F7F">
              <w:rPr>
                <w:rFonts w:ascii="Aptos" w:hAnsi="Aptos"/>
                <w:b/>
                <w:color w:val="FFFFFF"/>
                <w:sz w:val="14"/>
              </w:rPr>
              <w:t>ZMIANA 2020–2025</w:t>
            </w:r>
            <w:r w:rsidRPr="00BA4F7F">
              <w:rPr>
                <w:rFonts w:ascii="Aptos" w:hAnsi="Aptos"/>
                <w:b/>
                <w:color w:val="FFFFFF"/>
                <w:sz w:val="14"/>
              </w:rPr>
              <w:br/>
            </w:r>
            <w:r w:rsidRPr="00BA4F7F">
              <w:rPr>
                <w:rFonts w:ascii="Aptos" w:hAnsi="Aptos"/>
                <w:b/>
                <w:color w:val="FFFFFF"/>
                <w:sz w:val="34"/>
              </w:rPr>
              <w:t>+10,9</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6BE7ADD0"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słaba lub niepełna odporność</w:t>
            </w:r>
          </w:p>
        </w:tc>
      </w:tr>
    </w:tbl>
    <w:p w14:paraId="5F76E21A" w14:textId="77777777" w:rsidR="00537CA0" w:rsidRPr="00BA4F7F" w:rsidRDefault="00000000">
      <w:pPr>
        <w:keepLines/>
        <w:spacing w:before="20" w:after="30"/>
        <w:jc w:val="center"/>
      </w:pPr>
      <w:r w:rsidRPr="00BA4F7F">
        <w:rPr>
          <w:noProof/>
        </w:rPr>
        <w:drawing>
          <wp:inline distT="0" distB="0" distL="0" distR="0" wp14:anchorId="1B4905F5" wp14:editId="5B763D20">
            <wp:extent cx="5688000" cy="1119183"/>
            <wp:effectExtent l="0" t="0" r="0" b="0"/>
            <wp:docPr id="1690576323" name="Picture 1690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3.png"/>
                    <pic:cNvPicPr/>
                  </pic:nvPicPr>
                  <pic:blipFill>
                    <a:blip r:embed="rId27"/>
                    <a:stretch>
                      <a:fillRect/>
                    </a:stretch>
                  </pic:blipFill>
                  <pic:spPr>
                    <a:xfrm>
                      <a:off x="0" y="0"/>
                      <a:ext cx="5688000" cy="1119183"/>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3969"/>
        <w:gridCol w:w="2154"/>
        <w:gridCol w:w="1531"/>
        <w:gridCol w:w="1361"/>
      </w:tblGrid>
      <w:tr w:rsidR="00537CA0" w:rsidRPr="00BA4F7F" w14:paraId="465FEF95" w14:textId="77777777">
        <w:trPr>
          <w:cantSplit/>
          <w:tblHeader/>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6ECCF83A" w14:textId="77777777" w:rsidR="00537CA0" w:rsidRPr="00BA4F7F" w:rsidRDefault="00000000">
            <w:pPr>
              <w:spacing w:after="0"/>
              <w:jc w:val="center"/>
            </w:pPr>
            <w:r w:rsidRPr="00BA4F7F">
              <w:rPr>
                <w:rFonts w:ascii="Aptos" w:hAnsi="Aptos"/>
                <w:b/>
                <w:color w:val="FFFFFF"/>
                <w:sz w:val="14"/>
              </w:rPr>
              <w:t>Składnik modelu</w:t>
            </w:r>
          </w:p>
        </w:tc>
        <w:tc>
          <w:tcPr>
            <w:tcW w:w="2154"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485BC1C8" w14:textId="77777777" w:rsidR="00537CA0" w:rsidRPr="00BA4F7F" w:rsidRDefault="00000000">
            <w:pPr>
              <w:spacing w:after="0"/>
              <w:jc w:val="center"/>
            </w:pPr>
            <w:r w:rsidRPr="00BA4F7F">
              <w:rPr>
                <w:rFonts w:ascii="Aptos" w:hAnsi="Aptos"/>
                <w:b/>
                <w:color w:val="FFFFFF"/>
                <w:sz w:val="14"/>
              </w:rPr>
              <w:t>Wartość / ocena 2025</w:t>
            </w:r>
          </w:p>
        </w:tc>
        <w:tc>
          <w:tcPr>
            <w:tcW w:w="153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0325E11D" w14:textId="77777777" w:rsidR="00537CA0" w:rsidRPr="00BA4F7F" w:rsidRDefault="00000000">
            <w:pPr>
              <w:spacing w:after="0"/>
              <w:jc w:val="center"/>
            </w:pPr>
            <w:r w:rsidRPr="00BA4F7F">
              <w:rPr>
                <w:rFonts w:ascii="Aptos" w:hAnsi="Aptos"/>
                <w:b/>
                <w:color w:val="FFFFFF"/>
                <w:sz w:val="14"/>
              </w:rPr>
              <w:t>Punkty IRS</w:t>
            </w:r>
          </w:p>
        </w:tc>
        <w:tc>
          <w:tcPr>
            <w:tcW w:w="136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5F39C5A3" w14:textId="77777777" w:rsidR="00537CA0" w:rsidRPr="00BA4F7F" w:rsidRDefault="00000000">
            <w:pPr>
              <w:spacing w:after="0"/>
              <w:jc w:val="center"/>
            </w:pPr>
            <w:r w:rsidRPr="00BA4F7F">
              <w:rPr>
                <w:rFonts w:ascii="Aptos" w:hAnsi="Aptos"/>
                <w:b/>
                <w:color w:val="FFFFFF"/>
                <w:sz w:val="14"/>
              </w:rPr>
              <w:t>Waga</w:t>
            </w:r>
          </w:p>
        </w:tc>
      </w:tr>
      <w:tr w:rsidR="00537CA0" w:rsidRPr="00BA4F7F" w14:paraId="0E9598DF"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69771126" w14:textId="77777777" w:rsidR="00537CA0" w:rsidRPr="00BA4F7F" w:rsidRDefault="00000000">
            <w:pPr>
              <w:spacing w:after="0" w:line="228" w:lineRule="auto"/>
              <w:jc w:val="left"/>
            </w:pPr>
            <w:r w:rsidRPr="00BA4F7F">
              <w:rPr>
                <w:rFonts w:ascii="Aptos" w:hAnsi="Aptos"/>
                <w:b/>
                <w:color w:val="222222"/>
                <w:sz w:val="14"/>
              </w:rPr>
              <w:t>Stopa inwestycji</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7D9DFD5" w14:textId="77777777" w:rsidR="00537CA0" w:rsidRPr="00BA4F7F" w:rsidRDefault="00000000">
            <w:pPr>
              <w:spacing w:after="0" w:line="228" w:lineRule="auto"/>
              <w:jc w:val="center"/>
            </w:pPr>
            <w:r w:rsidRPr="00BA4F7F">
              <w:rPr>
                <w:rFonts w:ascii="Aptos" w:hAnsi="Aptos"/>
                <w:color w:val="222222"/>
                <w:sz w:val="14"/>
              </w:rPr>
              <w:t>17,0% PKB</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C6CBFFA" w14:textId="77777777" w:rsidR="00537CA0" w:rsidRPr="00BA4F7F" w:rsidRDefault="00000000">
            <w:pPr>
              <w:spacing w:after="0" w:line="228" w:lineRule="auto"/>
              <w:jc w:val="center"/>
            </w:pPr>
            <w:r w:rsidRPr="00BA4F7F">
              <w:rPr>
                <w:rFonts w:ascii="Aptos" w:hAnsi="Aptos"/>
                <w:color w:val="222222"/>
                <w:sz w:val="14"/>
              </w:rPr>
              <w:t>26,7</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30DAC3F" w14:textId="77777777" w:rsidR="00537CA0" w:rsidRPr="00BA4F7F" w:rsidRDefault="00000000">
            <w:pPr>
              <w:spacing w:after="0" w:line="228" w:lineRule="auto"/>
              <w:jc w:val="center"/>
            </w:pPr>
            <w:r w:rsidRPr="00BA4F7F">
              <w:rPr>
                <w:rFonts w:ascii="Aptos" w:hAnsi="Aptos"/>
                <w:color w:val="222222"/>
                <w:sz w:val="14"/>
              </w:rPr>
              <w:t>35%</w:t>
            </w:r>
          </w:p>
        </w:tc>
      </w:tr>
      <w:tr w:rsidR="00537CA0" w:rsidRPr="00BA4F7F" w14:paraId="13E99476"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1C166E64" w14:textId="77777777" w:rsidR="00537CA0" w:rsidRPr="00BA4F7F" w:rsidRDefault="00000000">
            <w:pPr>
              <w:spacing w:after="0" w:line="228" w:lineRule="auto"/>
              <w:jc w:val="left"/>
            </w:pPr>
            <w:r w:rsidRPr="00BA4F7F">
              <w:rPr>
                <w:rFonts w:ascii="Aptos" w:hAnsi="Aptos"/>
                <w:b/>
                <w:color w:val="222222"/>
                <w:sz w:val="14"/>
              </w:rPr>
              <w:t>Realna dynamika inwestycji firm</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2395C1D4" w14:textId="77777777" w:rsidR="00537CA0" w:rsidRPr="00BA4F7F" w:rsidRDefault="00000000">
            <w:pPr>
              <w:spacing w:after="0" w:line="228" w:lineRule="auto"/>
              <w:jc w:val="center"/>
            </w:pPr>
            <w:r w:rsidRPr="00BA4F7F">
              <w:rPr>
                <w:rFonts w:ascii="Aptos" w:hAnsi="Aptos"/>
                <w:color w:val="222222"/>
                <w:sz w:val="14"/>
              </w:rPr>
              <w:t>+3,2% r/r</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4339B124" w14:textId="77777777" w:rsidR="00537CA0" w:rsidRPr="00BA4F7F" w:rsidRDefault="00000000">
            <w:pPr>
              <w:spacing w:after="0" w:line="228" w:lineRule="auto"/>
              <w:jc w:val="center"/>
            </w:pPr>
            <w:r w:rsidRPr="00BA4F7F">
              <w:rPr>
                <w:rFonts w:ascii="Aptos" w:hAnsi="Aptos"/>
                <w:color w:val="222222"/>
                <w:sz w:val="14"/>
              </w:rPr>
              <w:t>76,0</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174D84BA" w14:textId="77777777" w:rsidR="00537CA0" w:rsidRPr="00BA4F7F" w:rsidRDefault="00000000">
            <w:pPr>
              <w:spacing w:after="0" w:line="228" w:lineRule="auto"/>
              <w:jc w:val="center"/>
            </w:pPr>
            <w:r w:rsidRPr="00BA4F7F">
              <w:rPr>
                <w:rFonts w:ascii="Aptos" w:hAnsi="Aptos"/>
                <w:color w:val="222222"/>
                <w:sz w:val="14"/>
              </w:rPr>
              <w:t>20%</w:t>
            </w:r>
          </w:p>
        </w:tc>
      </w:tr>
      <w:tr w:rsidR="00537CA0" w:rsidRPr="00BA4F7F" w14:paraId="44D60BAA"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02F131E3" w14:textId="77777777" w:rsidR="00537CA0" w:rsidRPr="00BA4F7F" w:rsidRDefault="00000000">
            <w:pPr>
              <w:spacing w:after="0" w:line="228" w:lineRule="auto"/>
              <w:jc w:val="left"/>
            </w:pPr>
            <w:r w:rsidRPr="00BA4F7F">
              <w:rPr>
                <w:rFonts w:ascii="Aptos" w:hAnsi="Aptos"/>
                <w:b/>
                <w:color w:val="222222"/>
                <w:sz w:val="14"/>
              </w:rPr>
              <w:t>Nakłady B+R</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A137BB9" w14:textId="77777777" w:rsidR="00537CA0" w:rsidRPr="00BA4F7F" w:rsidRDefault="00000000">
            <w:pPr>
              <w:spacing w:after="0" w:line="228" w:lineRule="auto"/>
              <w:jc w:val="center"/>
            </w:pPr>
            <w:r w:rsidRPr="00BA4F7F">
              <w:rPr>
                <w:rFonts w:ascii="Aptos" w:hAnsi="Aptos"/>
                <w:color w:val="222222"/>
                <w:sz w:val="14"/>
              </w:rPr>
              <w:t>1,40% PKB</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587E5322" w14:textId="77777777" w:rsidR="00537CA0" w:rsidRPr="00BA4F7F" w:rsidRDefault="00000000">
            <w:pPr>
              <w:spacing w:after="0" w:line="228" w:lineRule="auto"/>
              <w:jc w:val="center"/>
            </w:pPr>
            <w:r w:rsidRPr="00BA4F7F">
              <w:rPr>
                <w:rFonts w:ascii="Aptos" w:hAnsi="Aptos"/>
                <w:color w:val="222222"/>
                <w:sz w:val="14"/>
              </w:rPr>
              <w:t>45,0</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0148118D" w14:textId="77777777" w:rsidR="00537CA0" w:rsidRPr="00BA4F7F" w:rsidRDefault="00000000">
            <w:pPr>
              <w:spacing w:after="0" w:line="228" w:lineRule="auto"/>
              <w:jc w:val="center"/>
            </w:pPr>
            <w:r w:rsidRPr="00BA4F7F">
              <w:rPr>
                <w:rFonts w:ascii="Aptos" w:hAnsi="Aptos"/>
                <w:color w:val="222222"/>
                <w:sz w:val="14"/>
              </w:rPr>
              <w:t>30%</w:t>
            </w:r>
          </w:p>
        </w:tc>
      </w:tr>
      <w:tr w:rsidR="00537CA0" w:rsidRPr="00BA4F7F" w14:paraId="71276D0A"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628A5080" w14:textId="77777777" w:rsidR="00537CA0" w:rsidRPr="00BA4F7F" w:rsidRDefault="00000000">
            <w:pPr>
              <w:spacing w:after="0" w:line="228" w:lineRule="auto"/>
              <w:jc w:val="left"/>
            </w:pPr>
            <w:r w:rsidRPr="00BA4F7F">
              <w:rPr>
                <w:rFonts w:ascii="Aptos" w:hAnsi="Aptos"/>
                <w:b/>
                <w:color w:val="222222"/>
                <w:sz w:val="14"/>
              </w:rPr>
              <w:t>Produkcja przemysłowa</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6F3F1856" w14:textId="77777777" w:rsidR="00537CA0" w:rsidRPr="00BA4F7F" w:rsidRDefault="00000000">
            <w:pPr>
              <w:spacing w:after="0" w:line="228" w:lineRule="auto"/>
              <w:jc w:val="center"/>
            </w:pPr>
            <w:r w:rsidRPr="00BA4F7F">
              <w:rPr>
                <w:rFonts w:ascii="Aptos" w:hAnsi="Aptos"/>
                <w:color w:val="222222"/>
                <w:sz w:val="14"/>
              </w:rPr>
              <w:t>+3,0% r/r</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62959347" w14:textId="77777777" w:rsidR="00537CA0" w:rsidRPr="00BA4F7F" w:rsidRDefault="00000000">
            <w:pPr>
              <w:spacing w:after="0" w:line="228" w:lineRule="auto"/>
              <w:jc w:val="center"/>
            </w:pPr>
            <w:r w:rsidRPr="00BA4F7F">
              <w:rPr>
                <w:rFonts w:ascii="Aptos" w:hAnsi="Aptos"/>
                <w:color w:val="222222"/>
                <w:sz w:val="14"/>
              </w:rPr>
              <w:t>80,0</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1F3FE456" w14:textId="77777777" w:rsidR="00537CA0" w:rsidRPr="00BA4F7F" w:rsidRDefault="00000000">
            <w:pPr>
              <w:spacing w:after="0" w:line="228" w:lineRule="auto"/>
              <w:jc w:val="center"/>
            </w:pPr>
            <w:r w:rsidRPr="00BA4F7F">
              <w:rPr>
                <w:rFonts w:ascii="Aptos" w:hAnsi="Aptos"/>
                <w:color w:val="222222"/>
                <w:sz w:val="14"/>
              </w:rPr>
              <w:t>15%</w:t>
            </w:r>
          </w:p>
        </w:tc>
      </w:tr>
    </w:tbl>
    <w:p w14:paraId="108F0282" w14:textId="77777777" w:rsidR="00537CA0" w:rsidRPr="00BA4F7F" w:rsidRDefault="00537CA0">
      <w:pPr>
        <w:spacing w:after="20"/>
      </w:pPr>
    </w:p>
    <w:p w14:paraId="59600207" w14:textId="77777777" w:rsidR="00537CA0" w:rsidRPr="00BA4F7F" w:rsidRDefault="00000000">
      <w:pPr>
        <w:keepLines/>
        <w:spacing w:after="30" w:line="240" w:lineRule="auto"/>
      </w:pPr>
      <w:r w:rsidRPr="00BA4F7F">
        <w:rPr>
          <w:b/>
          <w:color w:val="1F4E79"/>
          <w:sz w:val="16"/>
        </w:rPr>
        <w:t xml:space="preserve">Funkcja w IRS i sposób liczenia. </w:t>
      </w:r>
      <w:proofErr w:type="spellStart"/>
      <w:r w:rsidRPr="00BA4F7F">
        <w:rPr>
          <w:color w:val="222222"/>
          <w:sz w:val="16"/>
        </w:rPr>
        <w:t>Subobszar</w:t>
      </w:r>
      <w:proofErr w:type="spellEnd"/>
      <w:r w:rsidRPr="00BA4F7F">
        <w:rPr>
          <w:color w:val="222222"/>
          <w:sz w:val="16"/>
        </w:rPr>
        <w:t xml:space="preserve"> mierzy zdolność gospodarki do odtwarzania kapitału, absorpcji technologii i podnoszenia przyszłej produktywności. Model łączy stopę inwestycji, dynamikę nakładów przedsiębiorstw, nakłady na B+R oraz cykliczny sygnał produkcji przemysłowej. Największe wagi mają stopa inwestycji i B+R, dlatego krótkookresowe odbicie nie może całkowicie przesłonić słabej akumulacji kapitału.</w:t>
      </w:r>
    </w:p>
    <w:p w14:paraId="533AA759" w14:textId="77777777" w:rsidR="00537CA0" w:rsidRPr="00BA4F7F" w:rsidRDefault="00000000">
      <w:pPr>
        <w:keepLines/>
        <w:spacing w:after="30" w:line="240" w:lineRule="auto"/>
      </w:pPr>
      <w:r w:rsidRPr="00BA4F7F">
        <w:rPr>
          <w:b/>
          <w:color w:val="1F4E79"/>
          <w:sz w:val="16"/>
        </w:rPr>
        <w:t xml:space="preserve">Diagnoza i kontekst 2020–2025. </w:t>
      </w:r>
      <w:r w:rsidRPr="00BA4F7F">
        <w:rPr>
          <w:color w:val="222222"/>
          <w:sz w:val="16"/>
        </w:rPr>
        <w:t>Trajektoria jest silnie zmienna: 39,1 pkt w pandemicznym 2020 r., 57,1 pkt w 2021 r., 53,5 pkt w 2022 r., 58,6 pkt w 2023 r., załamanie do 35,2 pkt w 2024 r. i odbicie do 50,0 pkt w 2025 r. Poprawę ostatniego roku tworzą dodatnia dynamika nakładów przedsiębiorstw i produkcji przemysłowej oraz uruchamianie środków KPO i funduszy unijnych. Jednocześnie stopa inwestycji pozostaje na poziomie 17,0% PKB, a B+R na 1,40% PKB. To wartości niewystarczające dla szybkiego zwiększania produktywności i krajowego zaplecza technologicznego, zwłaszcza przy dużych potrzebach energetycznych, obronnych i infrastrukturalnych.</w:t>
      </w:r>
    </w:p>
    <w:p w14:paraId="0C32F540" w14:textId="77777777" w:rsidR="00537CA0" w:rsidRPr="00BA4F7F" w:rsidRDefault="00000000">
      <w:pPr>
        <w:keepLines/>
        <w:spacing w:after="30" w:line="240" w:lineRule="auto"/>
      </w:pPr>
      <w:r w:rsidRPr="00BA4F7F">
        <w:rPr>
          <w:b/>
          <w:color w:val="1F4E79"/>
          <w:sz w:val="16"/>
        </w:rPr>
        <w:t xml:space="preserve">Znaczenie dla racji stanu. </w:t>
      </w:r>
      <w:r w:rsidRPr="00BA4F7F">
        <w:rPr>
          <w:color w:val="222222"/>
          <w:sz w:val="16"/>
        </w:rPr>
        <w:t>Inwestycje łączą gospodarkę z bezpieczeństwem i projektami strategicznymi. Bez rozbudowy sieci, mocy produkcyjnych, automatyzacji i kompetencji przemysłowych wysokie wydatki publiczne mogą zwiększać import zamiast krajowej zdolności. Z kolei niestabilność prawa i ograniczona podaż pracy podnoszą koszt kapitału i utrudniają prywatnym przedsiębiorstwom podejmowanie decyzji wieloletnich.</w:t>
      </w:r>
    </w:p>
    <w:p w14:paraId="19F74BA7" w14:textId="77777777" w:rsidR="00537CA0" w:rsidRPr="00BA4F7F" w:rsidRDefault="00000000">
      <w:pPr>
        <w:keepLines/>
        <w:spacing w:after="80" w:line="250" w:lineRule="auto"/>
      </w:pPr>
      <w:r w:rsidRPr="00BA4F7F">
        <w:rPr>
          <w:color w:val="222222"/>
          <w:sz w:val="18"/>
        </w:rPr>
        <w:t xml:space="preserve">Wniosek. Widoczne </w:t>
      </w:r>
      <w:proofErr w:type="spellStart"/>
      <w:r w:rsidRPr="00BA4F7F">
        <w:rPr>
          <w:color w:val="222222"/>
          <w:sz w:val="18"/>
        </w:rPr>
        <w:t>megaprojekty</w:t>
      </w:r>
      <w:proofErr w:type="spellEnd"/>
      <w:r w:rsidRPr="00BA4F7F">
        <w:rPr>
          <w:color w:val="222222"/>
          <w:sz w:val="18"/>
        </w:rPr>
        <w:t xml:space="preserve"> mogą tworzyć obraz inwestycyjnej ofensywy, podczas gdy w tysiącach firm utrzymuje się niska „gęstość inwestowania” w maszyny, cyfryzację, energię i B+R. Państwo może więc budować pojedyncze aktywa strategiczne bez równoległej modernizacji szerokiej bazy gospodarczej, od której zależą ich dostawcy, serwis i produktywność.</w:t>
      </w:r>
    </w:p>
    <w:tbl>
      <w:tblPr>
        <w:tblW w:w="0" w:type="auto"/>
        <w:jc w:val="center"/>
        <w:tblLayout w:type="fixed"/>
        <w:tblLook w:val="04A0" w:firstRow="1" w:lastRow="0" w:firstColumn="1" w:lastColumn="0" w:noHBand="0" w:noVBand="1"/>
      </w:tblPr>
      <w:tblGrid>
        <w:gridCol w:w="1474"/>
        <w:gridCol w:w="7540"/>
      </w:tblGrid>
      <w:tr w:rsidR="00537CA0" w:rsidRPr="00BA4F7F" w14:paraId="2A2CB608"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3F1E105F"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7F66EA05" w14:textId="77777777" w:rsidR="00537CA0" w:rsidRPr="00BA4F7F" w:rsidRDefault="00000000">
            <w:pPr>
              <w:spacing w:after="0" w:line="240" w:lineRule="auto"/>
              <w:jc w:val="left"/>
            </w:pPr>
            <w:r w:rsidRPr="00BA4F7F">
              <w:rPr>
                <w:color w:val="222222"/>
                <w:sz w:val="15"/>
              </w:rPr>
              <w:t>Stabilne otoczenie regulacyjne, szybsze pozwolenia i przyłączenia, mobilizacja kapitału prywatnego oraz koncentracja publicznego B+R na programach prowadzących do wdrożenia, skali i krajowych kompetencji.</w:t>
            </w:r>
          </w:p>
        </w:tc>
      </w:tr>
      <w:tr w:rsidR="00537CA0" w:rsidRPr="00BA4F7F" w14:paraId="25543726"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10502042"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6CF24529" w14:textId="77777777" w:rsidR="00537CA0" w:rsidRPr="00BA4F7F" w:rsidRDefault="00000000">
            <w:pPr>
              <w:spacing w:after="0" w:line="240" w:lineRule="auto"/>
              <w:jc w:val="left"/>
            </w:pPr>
            <w:r w:rsidRPr="00BA4F7F">
              <w:rPr>
                <w:color w:val="222222"/>
                <w:sz w:val="15"/>
              </w:rPr>
              <w:t>Wieloletni wzrost stopy inwestycji i B+R, rosnący udział nakładów prywatnych, poprawa produktywności oraz większy krajowy udział w łańcuchach dostaw projektów strategicznych.</w:t>
            </w:r>
          </w:p>
        </w:tc>
      </w:tr>
    </w:tbl>
    <w:p w14:paraId="2AD46D05" w14:textId="77777777" w:rsidR="00537CA0" w:rsidRPr="00BA4F7F" w:rsidRDefault="00000000">
      <w:pPr>
        <w:spacing w:after="0"/>
      </w:pPr>
      <w:r w:rsidRPr="00BA4F7F">
        <w:br w:type="page"/>
      </w:r>
    </w:p>
    <w:p w14:paraId="326725D8" w14:textId="77777777" w:rsidR="00537CA0" w:rsidRPr="00BA4F7F" w:rsidRDefault="00000000">
      <w:pPr>
        <w:pStyle w:val="Nagwek2"/>
        <w:spacing w:before="0" w:after="60"/>
      </w:pPr>
      <w:r w:rsidRPr="00BA4F7F">
        <w:rPr>
          <w:rFonts w:ascii="Aptos Display" w:hAnsi="Aptos Display"/>
          <w:sz w:val="30"/>
        </w:rPr>
        <w:lastRenderedPageBreak/>
        <w:t>14A.4. Rynek pracy</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478665C1"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3A239ED2" w14:textId="77777777" w:rsidR="00537CA0" w:rsidRPr="00BA4F7F" w:rsidRDefault="00000000">
            <w:pPr>
              <w:spacing w:after="0" w:line="240" w:lineRule="auto"/>
              <w:jc w:val="left"/>
            </w:pPr>
            <w:r w:rsidRPr="00BA4F7F">
              <w:rPr>
                <w:rFonts w:ascii="Aptos" w:hAnsi="Aptos"/>
                <w:b/>
                <w:color w:val="FFFFFF"/>
                <w:sz w:val="14"/>
              </w:rPr>
              <w:t>WYNIK 2025</w:t>
            </w:r>
            <w:r w:rsidRPr="00BA4F7F">
              <w:rPr>
                <w:rFonts w:ascii="Aptos" w:hAnsi="Aptos"/>
                <w:b/>
                <w:color w:val="FFFFFF"/>
                <w:sz w:val="14"/>
              </w:rPr>
              <w:br/>
            </w:r>
            <w:r w:rsidRPr="00BA4F7F">
              <w:rPr>
                <w:rFonts w:ascii="Aptos" w:hAnsi="Aptos"/>
                <w:b/>
                <w:color w:val="FFFFFF"/>
                <w:sz w:val="34"/>
              </w:rPr>
              <w:t>88,0</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03909F7B" w14:textId="77777777" w:rsidR="00537CA0" w:rsidRPr="00BA4F7F" w:rsidRDefault="00000000">
            <w:pPr>
              <w:spacing w:after="0" w:line="240" w:lineRule="auto"/>
              <w:jc w:val="left"/>
            </w:pPr>
            <w:r w:rsidRPr="00BA4F7F">
              <w:rPr>
                <w:rFonts w:ascii="Aptos" w:hAnsi="Aptos"/>
                <w:b/>
                <w:color w:val="FFFFFF"/>
                <w:sz w:val="14"/>
              </w:rPr>
              <w:t>ZMIANA 2020–2025</w:t>
            </w:r>
            <w:r w:rsidRPr="00BA4F7F">
              <w:rPr>
                <w:rFonts w:ascii="Aptos" w:hAnsi="Aptos"/>
                <w:b/>
                <w:color w:val="FFFFFF"/>
                <w:sz w:val="14"/>
              </w:rPr>
              <w:br/>
            </w:r>
            <w:r w:rsidRPr="00BA4F7F">
              <w:rPr>
                <w:rFonts w:ascii="Aptos" w:hAnsi="Aptos"/>
                <w:b/>
                <w:color w:val="FFFFFF"/>
                <w:sz w:val="34"/>
              </w:rPr>
              <w:t>+30,9</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5E42E635"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wysoka odporność / silna zdolność</w:t>
            </w:r>
          </w:p>
        </w:tc>
      </w:tr>
    </w:tbl>
    <w:p w14:paraId="09FA898A" w14:textId="77777777" w:rsidR="00537CA0" w:rsidRPr="00BA4F7F" w:rsidRDefault="00000000">
      <w:pPr>
        <w:keepLines/>
        <w:spacing w:before="20" w:after="30"/>
        <w:jc w:val="center"/>
      </w:pPr>
      <w:r w:rsidRPr="00BA4F7F">
        <w:rPr>
          <w:noProof/>
        </w:rPr>
        <w:drawing>
          <wp:inline distT="0" distB="0" distL="0" distR="0" wp14:anchorId="6213EC82" wp14:editId="3165290B">
            <wp:extent cx="5688000" cy="1119183"/>
            <wp:effectExtent l="0" t="0" r="0" b="0"/>
            <wp:docPr id="1690576324" name="Picture 169057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4.png"/>
                    <pic:cNvPicPr/>
                  </pic:nvPicPr>
                  <pic:blipFill>
                    <a:blip r:embed="rId28"/>
                    <a:stretch>
                      <a:fillRect/>
                    </a:stretch>
                  </pic:blipFill>
                  <pic:spPr>
                    <a:xfrm>
                      <a:off x="0" y="0"/>
                      <a:ext cx="5688000" cy="1119183"/>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3969"/>
        <w:gridCol w:w="2154"/>
        <w:gridCol w:w="1531"/>
        <w:gridCol w:w="1361"/>
      </w:tblGrid>
      <w:tr w:rsidR="00537CA0" w:rsidRPr="00BA4F7F" w14:paraId="68C95F74" w14:textId="77777777">
        <w:trPr>
          <w:cantSplit/>
          <w:tblHeader/>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6B7B203D" w14:textId="77777777" w:rsidR="00537CA0" w:rsidRPr="00BA4F7F" w:rsidRDefault="00000000">
            <w:pPr>
              <w:spacing w:after="0"/>
              <w:jc w:val="center"/>
            </w:pPr>
            <w:r w:rsidRPr="00BA4F7F">
              <w:rPr>
                <w:rFonts w:ascii="Aptos" w:hAnsi="Aptos"/>
                <w:b/>
                <w:color w:val="FFFFFF"/>
                <w:sz w:val="14"/>
              </w:rPr>
              <w:t>Składnik modelu</w:t>
            </w:r>
          </w:p>
        </w:tc>
        <w:tc>
          <w:tcPr>
            <w:tcW w:w="2154"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6D90AB55" w14:textId="77777777" w:rsidR="00537CA0" w:rsidRPr="00BA4F7F" w:rsidRDefault="00000000">
            <w:pPr>
              <w:spacing w:after="0"/>
              <w:jc w:val="center"/>
            </w:pPr>
            <w:r w:rsidRPr="00BA4F7F">
              <w:rPr>
                <w:rFonts w:ascii="Aptos" w:hAnsi="Aptos"/>
                <w:b/>
                <w:color w:val="FFFFFF"/>
                <w:sz w:val="14"/>
              </w:rPr>
              <w:t>Wartość / ocena 2025</w:t>
            </w:r>
          </w:p>
        </w:tc>
        <w:tc>
          <w:tcPr>
            <w:tcW w:w="153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6209E0BA" w14:textId="77777777" w:rsidR="00537CA0" w:rsidRPr="00BA4F7F" w:rsidRDefault="00000000">
            <w:pPr>
              <w:spacing w:after="0"/>
              <w:jc w:val="center"/>
            </w:pPr>
            <w:r w:rsidRPr="00BA4F7F">
              <w:rPr>
                <w:rFonts w:ascii="Aptos" w:hAnsi="Aptos"/>
                <w:b/>
                <w:color w:val="FFFFFF"/>
                <w:sz w:val="14"/>
              </w:rPr>
              <w:t>Punkty IRS</w:t>
            </w:r>
          </w:p>
        </w:tc>
        <w:tc>
          <w:tcPr>
            <w:tcW w:w="136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2FFF1B5C" w14:textId="77777777" w:rsidR="00537CA0" w:rsidRPr="00BA4F7F" w:rsidRDefault="00000000">
            <w:pPr>
              <w:spacing w:after="0"/>
              <w:jc w:val="center"/>
            </w:pPr>
            <w:r w:rsidRPr="00BA4F7F">
              <w:rPr>
                <w:rFonts w:ascii="Aptos" w:hAnsi="Aptos"/>
                <w:b/>
                <w:color w:val="FFFFFF"/>
                <w:sz w:val="14"/>
              </w:rPr>
              <w:t>Waga</w:t>
            </w:r>
          </w:p>
        </w:tc>
      </w:tr>
      <w:tr w:rsidR="00537CA0" w:rsidRPr="00BA4F7F" w14:paraId="000A5785"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05FC67A" w14:textId="77777777" w:rsidR="00537CA0" w:rsidRPr="00BA4F7F" w:rsidRDefault="00000000">
            <w:pPr>
              <w:spacing w:after="0" w:line="228" w:lineRule="auto"/>
              <w:jc w:val="left"/>
            </w:pPr>
            <w:r w:rsidRPr="00BA4F7F">
              <w:rPr>
                <w:rFonts w:ascii="Aptos" w:hAnsi="Aptos"/>
                <w:b/>
                <w:color w:val="222222"/>
                <w:sz w:val="14"/>
              </w:rPr>
              <w:t>Zatrudnienie 15–64 lata</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454DE7EC" w14:textId="77777777" w:rsidR="00537CA0" w:rsidRPr="00BA4F7F" w:rsidRDefault="00000000">
            <w:pPr>
              <w:spacing w:after="0" w:line="228" w:lineRule="auto"/>
              <w:jc w:val="center"/>
            </w:pPr>
            <w:r w:rsidRPr="00BA4F7F">
              <w:rPr>
                <w:rFonts w:ascii="Aptos" w:hAnsi="Aptos"/>
                <w:color w:val="222222"/>
                <w:sz w:val="14"/>
              </w:rPr>
              <w:t>72,8%</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58C72C03" w14:textId="77777777" w:rsidR="00537CA0" w:rsidRPr="00BA4F7F" w:rsidRDefault="00000000">
            <w:pPr>
              <w:spacing w:after="0" w:line="228" w:lineRule="auto"/>
              <w:jc w:val="center"/>
            </w:pPr>
            <w:r w:rsidRPr="00BA4F7F">
              <w:rPr>
                <w:rFonts w:ascii="Aptos" w:hAnsi="Aptos"/>
                <w:color w:val="222222"/>
                <w:sz w:val="14"/>
              </w:rPr>
              <w:t>88,4</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6BF062C7" w14:textId="77777777" w:rsidR="00537CA0" w:rsidRPr="00BA4F7F" w:rsidRDefault="00000000">
            <w:pPr>
              <w:spacing w:after="0" w:line="228" w:lineRule="auto"/>
              <w:jc w:val="center"/>
            </w:pPr>
            <w:r w:rsidRPr="00BA4F7F">
              <w:rPr>
                <w:rFonts w:ascii="Aptos" w:hAnsi="Aptos"/>
                <w:color w:val="222222"/>
                <w:sz w:val="14"/>
              </w:rPr>
              <w:t>40%</w:t>
            </w:r>
          </w:p>
        </w:tc>
      </w:tr>
      <w:tr w:rsidR="00537CA0" w:rsidRPr="00BA4F7F" w14:paraId="48D89C3F"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27CC3A19" w14:textId="77777777" w:rsidR="00537CA0" w:rsidRPr="00BA4F7F" w:rsidRDefault="00000000">
            <w:pPr>
              <w:spacing w:after="0" w:line="228" w:lineRule="auto"/>
              <w:jc w:val="left"/>
            </w:pPr>
            <w:r w:rsidRPr="00BA4F7F">
              <w:rPr>
                <w:rFonts w:ascii="Aptos" w:hAnsi="Aptos"/>
                <w:b/>
                <w:color w:val="222222"/>
                <w:sz w:val="14"/>
              </w:rPr>
              <w:t>Bezrobocie BAEL</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60DD8E13" w14:textId="77777777" w:rsidR="00537CA0" w:rsidRPr="00BA4F7F" w:rsidRDefault="00000000">
            <w:pPr>
              <w:spacing w:after="0" w:line="228" w:lineRule="auto"/>
              <w:jc w:val="center"/>
            </w:pPr>
            <w:r w:rsidRPr="00BA4F7F">
              <w:rPr>
                <w:rFonts w:ascii="Aptos" w:hAnsi="Aptos"/>
                <w:color w:val="222222"/>
                <w:sz w:val="14"/>
              </w:rPr>
              <w:t>3,2%</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2EA050D6" w14:textId="77777777" w:rsidR="00537CA0" w:rsidRPr="00BA4F7F" w:rsidRDefault="00000000">
            <w:pPr>
              <w:spacing w:after="0" w:line="228" w:lineRule="auto"/>
              <w:jc w:val="center"/>
            </w:pPr>
            <w:r w:rsidRPr="00BA4F7F">
              <w:rPr>
                <w:rFonts w:ascii="Aptos" w:hAnsi="Aptos"/>
                <w:color w:val="222222"/>
                <w:sz w:val="14"/>
              </w:rPr>
              <w:t>100,0</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5749E4BA" w14:textId="77777777" w:rsidR="00537CA0" w:rsidRPr="00BA4F7F" w:rsidRDefault="00000000">
            <w:pPr>
              <w:spacing w:after="0" w:line="228" w:lineRule="auto"/>
              <w:jc w:val="center"/>
            </w:pPr>
            <w:r w:rsidRPr="00BA4F7F">
              <w:rPr>
                <w:rFonts w:ascii="Aptos" w:hAnsi="Aptos"/>
                <w:color w:val="222222"/>
                <w:sz w:val="14"/>
              </w:rPr>
              <w:t>25%</w:t>
            </w:r>
          </w:p>
        </w:tc>
      </w:tr>
      <w:tr w:rsidR="00537CA0" w:rsidRPr="00BA4F7F" w14:paraId="1B25BAC4"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8EEED36" w14:textId="77777777" w:rsidR="00537CA0" w:rsidRPr="00BA4F7F" w:rsidRDefault="00000000">
            <w:pPr>
              <w:spacing w:after="0" w:line="228" w:lineRule="auto"/>
              <w:jc w:val="left"/>
            </w:pPr>
            <w:r w:rsidRPr="00BA4F7F">
              <w:rPr>
                <w:rFonts w:ascii="Aptos" w:hAnsi="Aptos"/>
                <w:b/>
                <w:color w:val="222222"/>
                <w:sz w:val="14"/>
              </w:rPr>
              <w:t>Produktywność pracy</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410EFFAB" w14:textId="77777777" w:rsidR="00537CA0" w:rsidRPr="00BA4F7F" w:rsidRDefault="00000000">
            <w:pPr>
              <w:spacing w:after="0" w:line="228" w:lineRule="auto"/>
              <w:jc w:val="center"/>
            </w:pPr>
            <w:r w:rsidRPr="00BA4F7F">
              <w:rPr>
                <w:rFonts w:ascii="Aptos" w:hAnsi="Aptos"/>
                <w:color w:val="222222"/>
                <w:sz w:val="14"/>
              </w:rPr>
              <w:t>+7,8% r/r</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7730ECC" w14:textId="77777777" w:rsidR="00537CA0" w:rsidRPr="00BA4F7F" w:rsidRDefault="00000000">
            <w:pPr>
              <w:spacing w:after="0" w:line="228" w:lineRule="auto"/>
              <w:jc w:val="center"/>
            </w:pPr>
            <w:r w:rsidRPr="00BA4F7F">
              <w:rPr>
                <w:rFonts w:ascii="Aptos" w:hAnsi="Aptos"/>
                <w:color w:val="222222"/>
                <w:sz w:val="14"/>
              </w:rPr>
              <w:t>79,0</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40B937C" w14:textId="77777777" w:rsidR="00537CA0" w:rsidRPr="00BA4F7F" w:rsidRDefault="00000000">
            <w:pPr>
              <w:spacing w:after="0" w:line="228" w:lineRule="auto"/>
              <w:jc w:val="center"/>
            </w:pPr>
            <w:r w:rsidRPr="00BA4F7F">
              <w:rPr>
                <w:rFonts w:ascii="Aptos" w:hAnsi="Aptos"/>
                <w:color w:val="222222"/>
                <w:sz w:val="14"/>
              </w:rPr>
              <w:t>35%</w:t>
            </w:r>
          </w:p>
        </w:tc>
      </w:tr>
    </w:tbl>
    <w:p w14:paraId="117AA5F5" w14:textId="77777777" w:rsidR="00537CA0" w:rsidRPr="00BA4F7F" w:rsidRDefault="00537CA0">
      <w:pPr>
        <w:spacing w:after="20"/>
      </w:pPr>
    </w:p>
    <w:p w14:paraId="293D56B0" w14:textId="77777777" w:rsidR="00537CA0" w:rsidRPr="00BA4F7F" w:rsidRDefault="00000000">
      <w:pPr>
        <w:keepLines/>
        <w:spacing w:after="30" w:line="240" w:lineRule="auto"/>
      </w:pPr>
      <w:r w:rsidRPr="00BA4F7F">
        <w:rPr>
          <w:b/>
          <w:color w:val="1F4E79"/>
          <w:sz w:val="16"/>
        </w:rPr>
        <w:t xml:space="preserve">Funkcja w IRS i sposób liczenia. </w:t>
      </w:r>
      <w:r w:rsidRPr="00BA4F7F">
        <w:rPr>
          <w:color w:val="222222"/>
          <w:sz w:val="16"/>
        </w:rPr>
        <w:t>Rynek pracy opisuje zdolność do mobilizacji zasobu ludzkiego, tworzenia dochodów i podtrzymywania bazy podatkowo-składkowej. Zatrudnienie i produktywność są stymulantami z nasyceniem. Dla bezrobocia zastosowano pasmo optymalne 3–5%: wysoka wartość oznacza niewykorzystanie pracy, natomiast bardzo niska nie jest premiowana ponad maksimum. Wynik jest średnią ważoną 40/25/35.</w:t>
      </w:r>
    </w:p>
    <w:p w14:paraId="313357A2" w14:textId="77777777" w:rsidR="00537CA0" w:rsidRPr="00BA4F7F" w:rsidRDefault="00000000">
      <w:pPr>
        <w:keepLines/>
        <w:spacing w:after="30" w:line="240" w:lineRule="auto"/>
      </w:pPr>
      <w:r w:rsidRPr="00BA4F7F">
        <w:rPr>
          <w:b/>
          <w:color w:val="1F4E79"/>
          <w:sz w:val="16"/>
        </w:rPr>
        <w:t xml:space="preserve">Diagnoza i kontekst 2020–2025. </w:t>
      </w:r>
      <w:r w:rsidRPr="00BA4F7F">
        <w:rPr>
          <w:color w:val="222222"/>
          <w:sz w:val="16"/>
        </w:rPr>
        <w:t xml:space="preserve">Po pandemicznym wyniku 57,2 pkt </w:t>
      </w:r>
      <w:proofErr w:type="spellStart"/>
      <w:r w:rsidRPr="00BA4F7F">
        <w:rPr>
          <w:color w:val="222222"/>
          <w:sz w:val="16"/>
        </w:rPr>
        <w:t>subobszar</w:t>
      </w:r>
      <w:proofErr w:type="spellEnd"/>
      <w:r w:rsidRPr="00BA4F7F">
        <w:rPr>
          <w:color w:val="222222"/>
          <w:sz w:val="16"/>
        </w:rPr>
        <w:t xml:space="preserve"> wzrósł do 85,5 pkt w 2021 r., 88,0 pkt w 2022 r., 90,4 pkt w 2023 r. i 91,9 pkt w 2024 r., po czym obniżył się do nadal bardzo wysokich 88,0 pkt w 2025 r. Zatrudnienie osób w wieku 15–64 lata wynosi 72,8%, bezrobocie BAEL 3,2%, a produktywność rośnie o 7,8%. Rynek pracy amortyzował kolejne szoki, w tym napływ uchodźców i pracowników z Ukrainy, wspierając dochody, popyt i finanse publiczne. Jednocześnie niedobory kadr nasilają się w ochronie zdrowia, budownictwie, przemyśle, administracji i sektorach bezpieczeństwa.</w:t>
      </w:r>
    </w:p>
    <w:p w14:paraId="19B5B673" w14:textId="77777777" w:rsidR="00537CA0" w:rsidRPr="00BA4F7F" w:rsidRDefault="00000000">
      <w:pPr>
        <w:keepLines/>
        <w:spacing w:after="30" w:line="240" w:lineRule="auto"/>
      </w:pPr>
      <w:r w:rsidRPr="00BA4F7F">
        <w:rPr>
          <w:b/>
          <w:color w:val="1F4E79"/>
          <w:sz w:val="16"/>
        </w:rPr>
        <w:t xml:space="preserve">Znaczenie dla racji stanu. </w:t>
      </w:r>
      <w:r w:rsidRPr="00BA4F7F">
        <w:rPr>
          <w:color w:val="222222"/>
          <w:sz w:val="16"/>
        </w:rPr>
        <w:t>Wynik stabilizuje cały Filar I, ale jest bezpośrednio zależny od Demografii. Kurczące się roczniki wchodzące na rynek pracy oznaczają, że konkurencja o ludzi będzie rosła nawet bez boomu gospodarczego. Zdolność obronna, energetyka, transport i opieka nad osobami starszymi będą rywalizować o ten sam ograniczony zasób kompetencji.</w:t>
      </w:r>
    </w:p>
    <w:p w14:paraId="6B251006" w14:textId="77777777" w:rsidR="00537CA0" w:rsidRPr="00BA4F7F" w:rsidRDefault="00000000">
      <w:pPr>
        <w:keepLines/>
        <w:spacing w:after="80" w:line="250" w:lineRule="auto"/>
      </w:pPr>
      <w:r w:rsidRPr="00BA4F7F">
        <w:rPr>
          <w:color w:val="222222"/>
          <w:sz w:val="18"/>
        </w:rPr>
        <w:t>Wniosek. Najwyższy wynik może pojawiać się właśnie wtedy, gdy gospodarka zbliża się do bariery podażowej. Pełne wykorzystanie pracy jest sukcesem bieżącym, lecz nie stanowi rezerwy na kolejną dekadę. Dalszy wzrost zależy mniej od tworzenia nowych miejsc pracy, a bardziej od produktywności, automatyzacji, aktywizacji i jakości migracji.</w:t>
      </w:r>
    </w:p>
    <w:tbl>
      <w:tblPr>
        <w:tblW w:w="0" w:type="auto"/>
        <w:jc w:val="center"/>
        <w:tblLayout w:type="fixed"/>
        <w:tblLook w:val="04A0" w:firstRow="1" w:lastRow="0" w:firstColumn="1" w:lastColumn="0" w:noHBand="0" w:noVBand="1"/>
      </w:tblPr>
      <w:tblGrid>
        <w:gridCol w:w="1474"/>
        <w:gridCol w:w="7540"/>
      </w:tblGrid>
      <w:tr w:rsidR="00537CA0" w:rsidRPr="00BA4F7F" w14:paraId="52DEBD3E"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07E4A381"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69613FF0" w14:textId="77777777" w:rsidR="00537CA0" w:rsidRPr="00BA4F7F" w:rsidRDefault="00000000">
            <w:pPr>
              <w:spacing w:after="0" w:line="240" w:lineRule="auto"/>
              <w:jc w:val="left"/>
            </w:pPr>
            <w:r w:rsidRPr="00BA4F7F">
              <w:rPr>
                <w:color w:val="222222"/>
                <w:sz w:val="15"/>
              </w:rPr>
              <w:t>Podnoszenie produktywności i automatyzacji, aktywizacja osób biernych, rozwój kompetencji oraz selektywna polityka migracyjna połączona z integracją i egzekwowaniem wspólnych reguł.</w:t>
            </w:r>
          </w:p>
        </w:tc>
      </w:tr>
      <w:tr w:rsidR="00537CA0" w:rsidRPr="00BA4F7F" w14:paraId="3C9BC0AD"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460ED24F"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41A6F1EC" w14:textId="77777777" w:rsidR="00537CA0" w:rsidRPr="00BA4F7F" w:rsidRDefault="00000000">
            <w:pPr>
              <w:spacing w:after="0" w:line="240" w:lineRule="auto"/>
              <w:jc w:val="left"/>
            </w:pPr>
            <w:r w:rsidRPr="00BA4F7F">
              <w:rPr>
                <w:color w:val="222222"/>
                <w:sz w:val="15"/>
              </w:rPr>
              <w:t>Wzrost produktywności i zatrudnienia bez narastania wakatów krytycznych, spadku dostępności kadr dla usług publicznych i trwałej presji kosztowej niezwiązanej z poprawą wydajności.</w:t>
            </w:r>
          </w:p>
        </w:tc>
      </w:tr>
    </w:tbl>
    <w:p w14:paraId="3E3B93CD" w14:textId="77777777" w:rsidR="00537CA0" w:rsidRPr="00BA4F7F" w:rsidRDefault="00537CA0">
      <w:pPr>
        <w:pStyle w:val="SourceNote"/>
        <w:keepLines/>
        <w:spacing w:before="30" w:after="0"/>
        <w:rPr>
          <w:lang w:val="pl-PL"/>
        </w:rPr>
      </w:pPr>
    </w:p>
    <w:p w14:paraId="0EA1E8FB" w14:textId="77777777" w:rsidR="00537CA0" w:rsidRPr="00BA4F7F" w:rsidRDefault="00000000">
      <w:pPr>
        <w:spacing w:after="0"/>
      </w:pPr>
      <w:r w:rsidRPr="00BA4F7F">
        <w:br w:type="page"/>
      </w:r>
    </w:p>
    <w:p w14:paraId="74739FED" w14:textId="77777777" w:rsidR="00537CA0" w:rsidRPr="00BA4F7F" w:rsidRDefault="00000000">
      <w:pPr>
        <w:pStyle w:val="Nagwek2"/>
        <w:spacing w:before="0" w:after="60"/>
      </w:pPr>
      <w:r w:rsidRPr="00BA4F7F">
        <w:rPr>
          <w:rFonts w:ascii="Aptos Display" w:hAnsi="Aptos Display"/>
          <w:sz w:val="30"/>
        </w:rPr>
        <w:lastRenderedPageBreak/>
        <w:t>14A.5. Zdolności obronne państwa</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67F7F45A"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12CB3086" w14:textId="77777777" w:rsidR="00537CA0" w:rsidRPr="00BA4F7F" w:rsidRDefault="00000000">
            <w:pPr>
              <w:spacing w:after="0" w:line="240" w:lineRule="auto"/>
              <w:jc w:val="left"/>
            </w:pPr>
            <w:r w:rsidRPr="00BA4F7F">
              <w:rPr>
                <w:rFonts w:ascii="Aptos" w:hAnsi="Aptos"/>
                <w:b/>
                <w:color w:val="FFFFFF"/>
                <w:sz w:val="14"/>
              </w:rPr>
              <w:t>WYNIK 2025</w:t>
            </w:r>
            <w:r w:rsidRPr="00BA4F7F">
              <w:rPr>
                <w:rFonts w:ascii="Aptos" w:hAnsi="Aptos"/>
                <w:b/>
                <w:color w:val="FFFFFF"/>
                <w:sz w:val="14"/>
              </w:rPr>
              <w:br/>
            </w:r>
            <w:r w:rsidRPr="00BA4F7F">
              <w:rPr>
                <w:rFonts w:ascii="Aptos" w:hAnsi="Aptos"/>
                <w:b/>
                <w:color w:val="FFFFFF"/>
                <w:sz w:val="34"/>
              </w:rPr>
              <w:t>86,8</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18114E0A" w14:textId="77777777" w:rsidR="00537CA0" w:rsidRPr="00BA4F7F" w:rsidRDefault="00000000">
            <w:pPr>
              <w:spacing w:after="0" w:line="240" w:lineRule="auto"/>
              <w:jc w:val="left"/>
            </w:pPr>
            <w:r w:rsidRPr="00BA4F7F">
              <w:rPr>
                <w:rFonts w:ascii="Aptos" w:hAnsi="Aptos"/>
                <w:b/>
                <w:color w:val="FFFFFF"/>
                <w:sz w:val="14"/>
              </w:rPr>
              <w:t>ZMIANA 2020–2025</w:t>
            </w:r>
            <w:r w:rsidRPr="00BA4F7F">
              <w:rPr>
                <w:rFonts w:ascii="Aptos" w:hAnsi="Aptos"/>
                <w:b/>
                <w:color w:val="FFFFFF"/>
                <w:sz w:val="14"/>
              </w:rPr>
              <w:br/>
            </w:r>
            <w:r w:rsidRPr="00BA4F7F">
              <w:rPr>
                <w:rFonts w:ascii="Aptos" w:hAnsi="Aptos"/>
                <w:b/>
                <w:color w:val="FFFFFF"/>
                <w:sz w:val="34"/>
              </w:rPr>
              <w:t>+21,4</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6AEB8270"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wysoka odporność / silna zdolność</w:t>
            </w:r>
          </w:p>
        </w:tc>
      </w:tr>
    </w:tbl>
    <w:p w14:paraId="2E660FAA" w14:textId="77777777" w:rsidR="00537CA0" w:rsidRPr="00BA4F7F" w:rsidRDefault="00000000">
      <w:pPr>
        <w:keepLines/>
        <w:spacing w:before="20" w:after="30"/>
        <w:jc w:val="center"/>
      </w:pPr>
      <w:r w:rsidRPr="00BA4F7F">
        <w:rPr>
          <w:noProof/>
        </w:rPr>
        <w:drawing>
          <wp:inline distT="0" distB="0" distL="0" distR="0" wp14:anchorId="10E46177" wp14:editId="247BDD3C">
            <wp:extent cx="5688000" cy="1119183"/>
            <wp:effectExtent l="0" t="0" r="0" b="0"/>
            <wp:docPr id="1690576325" name="Picture 1690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5.png"/>
                    <pic:cNvPicPr/>
                  </pic:nvPicPr>
                  <pic:blipFill>
                    <a:blip r:embed="rId29"/>
                    <a:stretch>
                      <a:fillRect/>
                    </a:stretch>
                  </pic:blipFill>
                  <pic:spPr>
                    <a:xfrm>
                      <a:off x="0" y="0"/>
                      <a:ext cx="5688000" cy="1119183"/>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3969"/>
        <w:gridCol w:w="2154"/>
        <w:gridCol w:w="1531"/>
        <w:gridCol w:w="1361"/>
      </w:tblGrid>
      <w:tr w:rsidR="00537CA0" w:rsidRPr="00BA4F7F" w14:paraId="08853588" w14:textId="77777777">
        <w:trPr>
          <w:cantSplit/>
          <w:tblHeader/>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1C73C6F9" w14:textId="77777777" w:rsidR="00537CA0" w:rsidRPr="00BA4F7F" w:rsidRDefault="00000000">
            <w:pPr>
              <w:spacing w:after="0"/>
              <w:jc w:val="center"/>
            </w:pPr>
            <w:r w:rsidRPr="00BA4F7F">
              <w:rPr>
                <w:rFonts w:ascii="Aptos" w:hAnsi="Aptos"/>
                <w:b/>
                <w:color w:val="FFFFFF"/>
                <w:sz w:val="14"/>
              </w:rPr>
              <w:t>Składnik modelu</w:t>
            </w:r>
          </w:p>
        </w:tc>
        <w:tc>
          <w:tcPr>
            <w:tcW w:w="2154"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20A50C9C" w14:textId="77777777" w:rsidR="00537CA0" w:rsidRPr="00BA4F7F" w:rsidRDefault="00000000">
            <w:pPr>
              <w:spacing w:after="0"/>
              <w:jc w:val="center"/>
            </w:pPr>
            <w:r w:rsidRPr="00BA4F7F">
              <w:rPr>
                <w:rFonts w:ascii="Aptos" w:hAnsi="Aptos"/>
                <w:b/>
                <w:color w:val="FFFFFF"/>
                <w:sz w:val="14"/>
              </w:rPr>
              <w:t>Wartość / ocena 2025</w:t>
            </w:r>
          </w:p>
        </w:tc>
        <w:tc>
          <w:tcPr>
            <w:tcW w:w="153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76E18174" w14:textId="77777777" w:rsidR="00537CA0" w:rsidRPr="00BA4F7F" w:rsidRDefault="00000000">
            <w:pPr>
              <w:spacing w:after="0"/>
              <w:jc w:val="center"/>
            </w:pPr>
            <w:r w:rsidRPr="00BA4F7F">
              <w:rPr>
                <w:rFonts w:ascii="Aptos" w:hAnsi="Aptos"/>
                <w:b/>
                <w:color w:val="FFFFFF"/>
                <w:sz w:val="14"/>
              </w:rPr>
              <w:t>Punkty IRS</w:t>
            </w:r>
          </w:p>
        </w:tc>
        <w:tc>
          <w:tcPr>
            <w:tcW w:w="136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4430359A" w14:textId="77777777" w:rsidR="00537CA0" w:rsidRPr="00BA4F7F" w:rsidRDefault="00000000">
            <w:pPr>
              <w:spacing w:after="0"/>
              <w:jc w:val="center"/>
            </w:pPr>
            <w:r w:rsidRPr="00BA4F7F">
              <w:rPr>
                <w:rFonts w:ascii="Aptos" w:hAnsi="Aptos"/>
                <w:b/>
                <w:color w:val="FFFFFF"/>
                <w:sz w:val="14"/>
              </w:rPr>
              <w:t>Waga</w:t>
            </w:r>
          </w:p>
        </w:tc>
      </w:tr>
      <w:tr w:rsidR="00537CA0" w:rsidRPr="00BA4F7F" w14:paraId="46DEB06D"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9635B0D" w14:textId="77777777" w:rsidR="00537CA0" w:rsidRPr="00BA4F7F" w:rsidRDefault="00000000">
            <w:pPr>
              <w:spacing w:after="0" w:line="228" w:lineRule="auto"/>
              <w:jc w:val="left"/>
            </w:pPr>
            <w:r w:rsidRPr="00BA4F7F">
              <w:rPr>
                <w:rFonts w:ascii="Aptos" w:hAnsi="Aptos"/>
                <w:b/>
                <w:color w:val="222222"/>
                <w:sz w:val="14"/>
              </w:rPr>
              <w:t>Wydatki obronne</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3A8E7D9" w14:textId="77777777" w:rsidR="00537CA0" w:rsidRPr="00BA4F7F" w:rsidRDefault="00000000">
            <w:pPr>
              <w:spacing w:after="0" w:line="228" w:lineRule="auto"/>
              <w:jc w:val="center"/>
            </w:pPr>
            <w:r w:rsidRPr="00BA4F7F">
              <w:rPr>
                <w:rFonts w:ascii="Aptos" w:hAnsi="Aptos"/>
                <w:color w:val="222222"/>
                <w:sz w:val="14"/>
              </w:rPr>
              <w:t>4,48% PKB</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1D35FDA" w14:textId="77777777" w:rsidR="00537CA0" w:rsidRPr="00BA4F7F" w:rsidRDefault="00000000">
            <w:pPr>
              <w:spacing w:after="0" w:line="228" w:lineRule="auto"/>
              <w:jc w:val="center"/>
            </w:pPr>
            <w:r w:rsidRPr="00BA4F7F">
              <w:rPr>
                <w:rFonts w:ascii="Aptos" w:hAnsi="Aptos"/>
                <w:color w:val="222222"/>
                <w:sz w:val="14"/>
              </w:rPr>
              <w:t>89,9</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510F6F4" w14:textId="77777777" w:rsidR="00537CA0" w:rsidRPr="00BA4F7F" w:rsidRDefault="00000000">
            <w:pPr>
              <w:spacing w:after="0" w:line="228" w:lineRule="auto"/>
              <w:jc w:val="center"/>
            </w:pPr>
            <w:r w:rsidRPr="00BA4F7F">
              <w:rPr>
                <w:rFonts w:ascii="Aptos" w:hAnsi="Aptos"/>
                <w:color w:val="222222"/>
                <w:sz w:val="14"/>
              </w:rPr>
              <w:t>35%</w:t>
            </w:r>
          </w:p>
        </w:tc>
      </w:tr>
      <w:tr w:rsidR="00537CA0" w:rsidRPr="00BA4F7F" w14:paraId="4B35FDE8"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682331DE" w14:textId="77777777" w:rsidR="00537CA0" w:rsidRPr="00BA4F7F" w:rsidRDefault="00000000">
            <w:pPr>
              <w:spacing w:after="0" w:line="228" w:lineRule="auto"/>
              <w:jc w:val="left"/>
            </w:pPr>
            <w:r w:rsidRPr="00BA4F7F">
              <w:rPr>
                <w:rFonts w:ascii="Aptos" w:hAnsi="Aptos"/>
                <w:b/>
                <w:color w:val="222222"/>
                <w:sz w:val="14"/>
              </w:rPr>
              <w:t>Udział wydatków sprzętowych</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293CFD8C" w14:textId="77777777" w:rsidR="00537CA0" w:rsidRPr="00BA4F7F" w:rsidRDefault="00000000">
            <w:pPr>
              <w:spacing w:after="0" w:line="228" w:lineRule="auto"/>
              <w:jc w:val="center"/>
            </w:pPr>
            <w:r w:rsidRPr="00BA4F7F">
              <w:rPr>
                <w:rFonts w:ascii="Aptos" w:hAnsi="Aptos"/>
                <w:color w:val="222222"/>
                <w:sz w:val="14"/>
              </w:rPr>
              <w:t>54,44%</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23D7ACEB" w14:textId="77777777" w:rsidR="00537CA0" w:rsidRPr="00BA4F7F" w:rsidRDefault="00000000">
            <w:pPr>
              <w:spacing w:after="0" w:line="228" w:lineRule="auto"/>
              <w:jc w:val="center"/>
            </w:pPr>
            <w:r w:rsidRPr="00BA4F7F">
              <w:rPr>
                <w:rFonts w:ascii="Aptos" w:hAnsi="Aptos"/>
                <w:color w:val="222222"/>
                <w:sz w:val="14"/>
              </w:rPr>
              <w:t>88,7</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24116AAC" w14:textId="77777777" w:rsidR="00537CA0" w:rsidRPr="00BA4F7F" w:rsidRDefault="00000000">
            <w:pPr>
              <w:spacing w:after="0" w:line="228" w:lineRule="auto"/>
              <w:jc w:val="center"/>
            </w:pPr>
            <w:r w:rsidRPr="00BA4F7F">
              <w:rPr>
                <w:rFonts w:ascii="Aptos" w:hAnsi="Aptos"/>
                <w:color w:val="222222"/>
                <w:sz w:val="14"/>
              </w:rPr>
              <w:t>35%</w:t>
            </w:r>
          </w:p>
        </w:tc>
      </w:tr>
      <w:tr w:rsidR="00537CA0" w:rsidRPr="00BA4F7F" w14:paraId="233C1535"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15A9AAD" w14:textId="77777777" w:rsidR="00537CA0" w:rsidRPr="00BA4F7F" w:rsidRDefault="00000000">
            <w:pPr>
              <w:spacing w:after="0" w:line="228" w:lineRule="auto"/>
              <w:jc w:val="left"/>
            </w:pPr>
            <w:r w:rsidRPr="00BA4F7F">
              <w:rPr>
                <w:rFonts w:ascii="Aptos" w:hAnsi="Aptos"/>
                <w:b/>
                <w:color w:val="222222"/>
                <w:sz w:val="14"/>
              </w:rPr>
              <w:t>Personel wojskowy</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BECC02E" w14:textId="77777777" w:rsidR="00537CA0" w:rsidRPr="00BA4F7F" w:rsidRDefault="00000000">
            <w:pPr>
              <w:spacing w:after="0" w:line="228" w:lineRule="auto"/>
              <w:jc w:val="center"/>
            </w:pPr>
            <w:r w:rsidRPr="00BA4F7F">
              <w:rPr>
                <w:rFonts w:ascii="Aptos" w:hAnsi="Aptos"/>
                <w:color w:val="222222"/>
                <w:sz w:val="14"/>
              </w:rPr>
              <w:t>233,8 tys.</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04957CC1" w14:textId="77777777" w:rsidR="00537CA0" w:rsidRPr="00BA4F7F" w:rsidRDefault="00000000">
            <w:pPr>
              <w:spacing w:after="0" w:line="228" w:lineRule="auto"/>
              <w:jc w:val="center"/>
            </w:pPr>
            <w:r w:rsidRPr="00BA4F7F">
              <w:rPr>
                <w:rFonts w:ascii="Aptos" w:hAnsi="Aptos"/>
                <w:color w:val="222222"/>
                <w:sz w:val="14"/>
              </w:rPr>
              <w:t>80,8</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5DFBBFF" w14:textId="77777777" w:rsidR="00537CA0" w:rsidRPr="00BA4F7F" w:rsidRDefault="00000000">
            <w:pPr>
              <w:spacing w:after="0" w:line="228" w:lineRule="auto"/>
              <w:jc w:val="center"/>
            </w:pPr>
            <w:r w:rsidRPr="00BA4F7F">
              <w:rPr>
                <w:rFonts w:ascii="Aptos" w:hAnsi="Aptos"/>
                <w:color w:val="222222"/>
                <w:sz w:val="14"/>
              </w:rPr>
              <w:t>30%</w:t>
            </w:r>
          </w:p>
        </w:tc>
      </w:tr>
    </w:tbl>
    <w:p w14:paraId="53065790" w14:textId="77777777" w:rsidR="00537CA0" w:rsidRPr="00BA4F7F" w:rsidRDefault="00537CA0">
      <w:pPr>
        <w:spacing w:after="20"/>
      </w:pPr>
    </w:p>
    <w:p w14:paraId="355A09D4" w14:textId="77777777" w:rsidR="00537CA0" w:rsidRPr="00BA4F7F" w:rsidRDefault="00000000">
      <w:pPr>
        <w:keepLines/>
        <w:spacing w:after="30" w:line="240" w:lineRule="auto"/>
      </w:pPr>
      <w:r w:rsidRPr="00BA4F7F">
        <w:rPr>
          <w:b/>
          <w:color w:val="1F4E79"/>
          <w:sz w:val="16"/>
        </w:rPr>
        <w:t xml:space="preserve">Funkcja w IRS i sposób liczenia. </w:t>
      </w:r>
      <w:proofErr w:type="spellStart"/>
      <w:r w:rsidRPr="00BA4F7F">
        <w:rPr>
          <w:color w:val="222222"/>
          <w:sz w:val="16"/>
        </w:rPr>
        <w:t>Subobszar</w:t>
      </w:r>
      <w:proofErr w:type="spellEnd"/>
      <w:r w:rsidRPr="00BA4F7F">
        <w:rPr>
          <w:color w:val="222222"/>
          <w:sz w:val="16"/>
        </w:rPr>
        <w:t xml:space="preserve"> mierzy zasobową podstawę odstraszania i obrony: skalę wydatków, udział zakupów sprzętowych oraz liczebność personelu. Wskaźniki są normalizowane funkcjami z nasyceniem, aby nie utożsamiać samego nakładu z pełną gotowością. Dla wydatków zastosowano odrębne progi przed i po 2022 r., ponieważ agresja Rosji radykalnie podniosła wymagania wobec państwa frontowego.</w:t>
      </w:r>
    </w:p>
    <w:p w14:paraId="5A37CDAD" w14:textId="77777777" w:rsidR="00537CA0" w:rsidRPr="00BA4F7F" w:rsidRDefault="00000000">
      <w:pPr>
        <w:keepLines/>
        <w:spacing w:after="30" w:line="240" w:lineRule="auto"/>
      </w:pPr>
      <w:r w:rsidRPr="00BA4F7F">
        <w:rPr>
          <w:b/>
          <w:color w:val="1F4E79"/>
          <w:sz w:val="16"/>
        </w:rPr>
        <w:t xml:space="preserve">Diagnoza i kontekst 2020–2025. </w:t>
      </w:r>
      <w:r w:rsidRPr="00BA4F7F">
        <w:rPr>
          <w:color w:val="222222"/>
          <w:sz w:val="16"/>
        </w:rPr>
        <w:t xml:space="preserve">Wynik wzrasta z 65,4 pkt w 2020 r. do 72,7 pkt w 2021 r., następnie spada do 61,7 pkt w 2022 r. nie z powodu redukcji zasobów, lecz zaostrzenia wymagań po wybuchu </w:t>
      </w:r>
      <w:proofErr w:type="spellStart"/>
      <w:r w:rsidRPr="00BA4F7F">
        <w:rPr>
          <w:color w:val="222222"/>
          <w:sz w:val="16"/>
        </w:rPr>
        <w:t>pełnoskalowej</w:t>
      </w:r>
      <w:proofErr w:type="spellEnd"/>
      <w:r w:rsidRPr="00BA4F7F">
        <w:rPr>
          <w:color w:val="222222"/>
          <w:sz w:val="16"/>
        </w:rPr>
        <w:t xml:space="preserve"> wojny. Kolejne lata przynoszą szybkie dostosowanie: 77,8 pkt w 2023 r., 80,7 pkt w 2024 r. i 86,8 pkt w 2025 r. Wydatki obronne 4,48% PKB, udział nakładów sprzętowych 54,44% i 233,8 tys. personelu potwierdzają zasadniczą zmianę priorytetów. Są jednak wejściem do procesu budowy zdolności, nie jego końcowym rezultatem.</w:t>
      </w:r>
    </w:p>
    <w:p w14:paraId="29DA4083" w14:textId="77777777" w:rsidR="00537CA0" w:rsidRPr="00BA4F7F" w:rsidRDefault="00000000">
      <w:pPr>
        <w:keepLines/>
        <w:spacing w:after="30" w:line="240" w:lineRule="auto"/>
      </w:pPr>
      <w:r w:rsidRPr="00BA4F7F">
        <w:rPr>
          <w:b/>
          <w:color w:val="1F4E79"/>
          <w:sz w:val="16"/>
        </w:rPr>
        <w:t xml:space="preserve">Znaczenie dla racji stanu. </w:t>
      </w:r>
      <w:r w:rsidRPr="00BA4F7F">
        <w:rPr>
          <w:color w:val="222222"/>
          <w:sz w:val="16"/>
        </w:rPr>
        <w:t>Tempo modernizacji tworzy silne powiązania z finansami, przemysłem, energetyką, transportem i rynkiem pracy. Nowe systemy wymagają infrastruktury, amunicji, łączności, serwisu i wieloletniego personelu. Wysoki wysiłek obronny jest bardziej trwały, gdy część kosztów i kompetencji pozostaje w gospodarce krajowej, a planowanie obejmuje pełny cykl życia.</w:t>
      </w:r>
    </w:p>
    <w:p w14:paraId="34E9B330" w14:textId="77777777" w:rsidR="00537CA0" w:rsidRPr="00BA4F7F" w:rsidRDefault="00000000">
      <w:pPr>
        <w:keepLines/>
        <w:spacing w:after="80" w:line="250" w:lineRule="auto"/>
      </w:pPr>
      <w:r w:rsidRPr="00BA4F7F">
        <w:rPr>
          <w:color w:val="222222"/>
          <w:sz w:val="18"/>
        </w:rPr>
        <w:t>Wniosek. Szybkie zwiększanie liczby typów uzbrojenia może równocześnie zwiększać potencjał i tworzyć „dług integracyjny”: wiele systemów szkolenia, części, amunicji, łączności i obsługi. Im większy sukces kontraktacyjny, tym wyższe wymagania wobec niewidocznego zaplecza, od którego zależy dostępność operacyjna.</w:t>
      </w:r>
    </w:p>
    <w:tbl>
      <w:tblPr>
        <w:tblW w:w="0" w:type="auto"/>
        <w:jc w:val="center"/>
        <w:tblLayout w:type="fixed"/>
        <w:tblLook w:val="04A0" w:firstRow="1" w:lastRow="0" w:firstColumn="1" w:lastColumn="0" w:noHBand="0" w:noVBand="1"/>
      </w:tblPr>
      <w:tblGrid>
        <w:gridCol w:w="1474"/>
        <w:gridCol w:w="7540"/>
      </w:tblGrid>
      <w:tr w:rsidR="00537CA0" w:rsidRPr="00BA4F7F" w14:paraId="320B5E72"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048C0ADD"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0B896C46" w14:textId="77777777" w:rsidR="00537CA0" w:rsidRPr="00BA4F7F" w:rsidRDefault="00000000">
            <w:pPr>
              <w:spacing w:after="0" w:line="240" w:lineRule="auto"/>
              <w:jc w:val="left"/>
            </w:pPr>
            <w:r w:rsidRPr="00BA4F7F">
              <w:rPr>
                <w:color w:val="222222"/>
                <w:sz w:val="15"/>
              </w:rPr>
              <w:t>Konwersja strumienia wydatków w gotowość: wspólna architektura dowodzenia i logistyki, zapasy, szkolenie, infrastruktura, serwis oraz mierniki dostępności operacyjnej jednostek.</w:t>
            </w:r>
          </w:p>
        </w:tc>
      </w:tr>
      <w:tr w:rsidR="00537CA0" w:rsidRPr="00BA4F7F" w14:paraId="642B24FF"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79330AE9"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36368222" w14:textId="77777777" w:rsidR="00537CA0" w:rsidRPr="00BA4F7F" w:rsidRDefault="00000000">
            <w:pPr>
              <w:spacing w:after="0" w:line="240" w:lineRule="auto"/>
              <w:jc w:val="left"/>
            </w:pPr>
            <w:r w:rsidRPr="00BA4F7F">
              <w:rPr>
                <w:color w:val="222222"/>
                <w:sz w:val="15"/>
              </w:rPr>
              <w:t>Rosnąca gotowość i ukompletowanie, potwierdzone zapasy, dostępność techniczna sprzętu, zdolność do długotrwałego działania i większy krajowy udział w serwisie oraz produkcji.</w:t>
            </w:r>
          </w:p>
        </w:tc>
      </w:tr>
    </w:tbl>
    <w:p w14:paraId="663731E3" w14:textId="77777777" w:rsidR="00537CA0" w:rsidRPr="00BA4F7F" w:rsidRDefault="00537CA0">
      <w:pPr>
        <w:pStyle w:val="SourceNote"/>
        <w:keepLines/>
        <w:spacing w:before="30" w:after="0"/>
        <w:rPr>
          <w:lang w:val="pl-PL"/>
        </w:rPr>
      </w:pPr>
    </w:p>
    <w:p w14:paraId="6E81B6D7" w14:textId="77777777" w:rsidR="00537CA0" w:rsidRPr="00BA4F7F" w:rsidRDefault="00000000">
      <w:pPr>
        <w:spacing w:after="0"/>
      </w:pPr>
      <w:r w:rsidRPr="00BA4F7F">
        <w:br w:type="page"/>
      </w:r>
    </w:p>
    <w:p w14:paraId="01504D19" w14:textId="77777777" w:rsidR="00537CA0" w:rsidRPr="00BA4F7F" w:rsidRDefault="00000000">
      <w:pPr>
        <w:pStyle w:val="Nagwek2"/>
        <w:spacing w:before="0" w:after="60"/>
      </w:pPr>
      <w:r w:rsidRPr="00BA4F7F">
        <w:rPr>
          <w:rFonts w:ascii="Aptos Display" w:hAnsi="Aptos Display"/>
          <w:sz w:val="30"/>
        </w:rPr>
        <w:lastRenderedPageBreak/>
        <w:t>14A.6. Odporność cywilna i ochrona ludności</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317638F4"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00AA5648" w14:textId="77777777" w:rsidR="00537CA0" w:rsidRPr="00BA4F7F" w:rsidRDefault="00000000">
            <w:pPr>
              <w:spacing w:after="0" w:line="240" w:lineRule="auto"/>
              <w:jc w:val="left"/>
            </w:pPr>
            <w:r w:rsidRPr="00BA4F7F">
              <w:rPr>
                <w:rFonts w:ascii="Aptos" w:hAnsi="Aptos"/>
                <w:b/>
                <w:color w:val="FFFFFF"/>
                <w:sz w:val="14"/>
              </w:rPr>
              <w:t>WYNIK 2025</w:t>
            </w:r>
            <w:r w:rsidRPr="00BA4F7F">
              <w:rPr>
                <w:rFonts w:ascii="Aptos" w:hAnsi="Aptos"/>
                <w:b/>
                <w:color w:val="FFFFFF"/>
                <w:sz w:val="14"/>
              </w:rPr>
              <w:br/>
            </w:r>
            <w:r w:rsidRPr="00BA4F7F">
              <w:rPr>
                <w:rFonts w:ascii="Aptos" w:hAnsi="Aptos"/>
                <w:b/>
                <w:color w:val="FFFFFF"/>
                <w:sz w:val="34"/>
              </w:rPr>
              <w:t>63,4</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21BCC35A" w14:textId="77777777" w:rsidR="00537CA0" w:rsidRPr="00BA4F7F" w:rsidRDefault="00000000">
            <w:pPr>
              <w:spacing w:after="0" w:line="240" w:lineRule="auto"/>
              <w:jc w:val="left"/>
            </w:pPr>
            <w:r w:rsidRPr="00BA4F7F">
              <w:rPr>
                <w:rFonts w:ascii="Aptos" w:hAnsi="Aptos"/>
                <w:b/>
                <w:color w:val="FFFFFF"/>
                <w:sz w:val="14"/>
              </w:rPr>
              <w:t>ZMIANA 2020–2025</w:t>
            </w:r>
            <w:r w:rsidRPr="00BA4F7F">
              <w:rPr>
                <w:rFonts w:ascii="Aptos" w:hAnsi="Aptos"/>
                <w:b/>
                <w:color w:val="FFFFFF"/>
                <w:sz w:val="14"/>
              </w:rPr>
              <w:br/>
            </w:r>
            <w:r w:rsidRPr="00BA4F7F">
              <w:rPr>
                <w:rFonts w:ascii="Aptos" w:hAnsi="Aptos"/>
                <w:b/>
                <w:color w:val="FFFFFF"/>
                <w:sz w:val="34"/>
              </w:rPr>
              <w:t>+6,8</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619F25B3"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umiarkowanie dobra odporność</w:t>
            </w:r>
          </w:p>
        </w:tc>
      </w:tr>
    </w:tbl>
    <w:p w14:paraId="1F73C09C" w14:textId="77777777" w:rsidR="00537CA0" w:rsidRPr="00BA4F7F" w:rsidRDefault="00000000">
      <w:pPr>
        <w:keepLines/>
        <w:spacing w:before="20" w:after="30"/>
        <w:jc w:val="center"/>
      </w:pPr>
      <w:r w:rsidRPr="00BA4F7F">
        <w:rPr>
          <w:noProof/>
        </w:rPr>
        <w:drawing>
          <wp:inline distT="0" distB="0" distL="0" distR="0" wp14:anchorId="3EE319D1" wp14:editId="29624AA8">
            <wp:extent cx="5688000" cy="1119880"/>
            <wp:effectExtent l="0" t="0" r="0" b="0"/>
            <wp:docPr id="1690576326" name="Picture 1690576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6.png"/>
                    <pic:cNvPicPr/>
                  </pic:nvPicPr>
                  <pic:blipFill>
                    <a:blip r:embed="rId30"/>
                    <a:stretch>
                      <a:fillRect/>
                    </a:stretch>
                  </pic:blipFill>
                  <pic:spPr>
                    <a:xfrm>
                      <a:off x="0" y="0"/>
                      <a:ext cx="5688000" cy="1119880"/>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3969"/>
        <w:gridCol w:w="2154"/>
        <w:gridCol w:w="1531"/>
        <w:gridCol w:w="1361"/>
      </w:tblGrid>
      <w:tr w:rsidR="00537CA0" w:rsidRPr="00BA4F7F" w14:paraId="56F6CC37" w14:textId="77777777">
        <w:trPr>
          <w:cantSplit/>
          <w:tblHeader/>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36B0DD97" w14:textId="77777777" w:rsidR="00537CA0" w:rsidRPr="00BA4F7F" w:rsidRDefault="00000000">
            <w:pPr>
              <w:spacing w:after="0"/>
              <w:jc w:val="center"/>
            </w:pPr>
            <w:r w:rsidRPr="00BA4F7F">
              <w:rPr>
                <w:rFonts w:ascii="Aptos" w:hAnsi="Aptos"/>
                <w:b/>
                <w:color w:val="FFFFFF"/>
                <w:sz w:val="14"/>
              </w:rPr>
              <w:t>Składnik modelu</w:t>
            </w:r>
          </w:p>
        </w:tc>
        <w:tc>
          <w:tcPr>
            <w:tcW w:w="2154"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3A31B72F" w14:textId="77777777" w:rsidR="00537CA0" w:rsidRPr="00BA4F7F" w:rsidRDefault="00000000">
            <w:pPr>
              <w:spacing w:after="0"/>
              <w:jc w:val="center"/>
            </w:pPr>
            <w:r w:rsidRPr="00BA4F7F">
              <w:rPr>
                <w:rFonts w:ascii="Aptos" w:hAnsi="Aptos"/>
                <w:b/>
                <w:color w:val="FFFFFF"/>
                <w:sz w:val="14"/>
              </w:rPr>
              <w:t>Wartość / ocena 2025</w:t>
            </w:r>
          </w:p>
        </w:tc>
        <w:tc>
          <w:tcPr>
            <w:tcW w:w="153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204D4AF0" w14:textId="77777777" w:rsidR="00537CA0" w:rsidRPr="00BA4F7F" w:rsidRDefault="00000000">
            <w:pPr>
              <w:spacing w:after="0"/>
              <w:jc w:val="center"/>
            </w:pPr>
            <w:r w:rsidRPr="00BA4F7F">
              <w:rPr>
                <w:rFonts w:ascii="Aptos" w:hAnsi="Aptos"/>
                <w:b/>
                <w:color w:val="FFFFFF"/>
                <w:sz w:val="14"/>
              </w:rPr>
              <w:t>Punkty IRS</w:t>
            </w:r>
          </w:p>
        </w:tc>
        <w:tc>
          <w:tcPr>
            <w:tcW w:w="136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504089E4" w14:textId="77777777" w:rsidR="00537CA0" w:rsidRPr="00BA4F7F" w:rsidRDefault="00000000">
            <w:pPr>
              <w:spacing w:after="0"/>
              <w:jc w:val="center"/>
            </w:pPr>
            <w:r w:rsidRPr="00BA4F7F">
              <w:rPr>
                <w:rFonts w:ascii="Aptos" w:hAnsi="Aptos"/>
                <w:b/>
                <w:color w:val="FFFFFF"/>
                <w:sz w:val="14"/>
              </w:rPr>
              <w:t>Waga</w:t>
            </w:r>
          </w:p>
        </w:tc>
      </w:tr>
      <w:tr w:rsidR="00537CA0" w:rsidRPr="00BA4F7F" w14:paraId="36BD1F23"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55053265" w14:textId="77777777" w:rsidR="00537CA0" w:rsidRPr="00BA4F7F" w:rsidRDefault="00000000">
            <w:pPr>
              <w:spacing w:after="0" w:line="228" w:lineRule="auto"/>
              <w:jc w:val="left"/>
            </w:pPr>
            <w:r w:rsidRPr="00BA4F7F">
              <w:rPr>
                <w:rFonts w:ascii="Aptos" w:hAnsi="Aptos"/>
                <w:b/>
                <w:color w:val="222222"/>
                <w:sz w:val="14"/>
              </w:rPr>
              <w:t>OSP w KSRG</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436B336B" w14:textId="77777777" w:rsidR="00537CA0" w:rsidRPr="00BA4F7F" w:rsidRDefault="00000000">
            <w:pPr>
              <w:spacing w:after="0" w:line="228" w:lineRule="auto"/>
              <w:jc w:val="center"/>
            </w:pPr>
            <w:r w:rsidRPr="00BA4F7F">
              <w:rPr>
                <w:rFonts w:ascii="Aptos" w:hAnsi="Aptos"/>
                <w:color w:val="222222"/>
                <w:sz w:val="14"/>
              </w:rPr>
              <w:t>14,03 / 100 tys.</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02A06AD7" w14:textId="77777777" w:rsidR="00537CA0" w:rsidRPr="00BA4F7F" w:rsidRDefault="00000000">
            <w:pPr>
              <w:spacing w:after="0" w:line="228" w:lineRule="auto"/>
              <w:jc w:val="center"/>
            </w:pPr>
            <w:r w:rsidRPr="00BA4F7F">
              <w:rPr>
                <w:rFonts w:ascii="Aptos" w:hAnsi="Aptos"/>
                <w:color w:val="222222"/>
                <w:sz w:val="14"/>
              </w:rPr>
              <w:t>82,2</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5F2F5AD9" w14:textId="77777777" w:rsidR="00537CA0" w:rsidRPr="00BA4F7F" w:rsidRDefault="00000000">
            <w:pPr>
              <w:spacing w:after="0" w:line="228" w:lineRule="auto"/>
              <w:jc w:val="center"/>
            </w:pPr>
            <w:r w:rsidRPr="00BA4F7F">
              <w:rPr>
                <w:rFonts w:ascii="Aptos" w:hAnsi="Aptos"/>
                <w:color w:val="222222"/>
                <w:sz w:val="14"/>
              </w:rPr>
              <w:t>30%</w:t>
            </w:r>
          </w:p>
        </w:tc>
      </w:tr>
      <w:tr w:rsidR="00537CA0" w:rsidRPr="00BA4F7F" w14:paraId="6B856B76"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10604634" w14:textId="77777777" w:rsidR="00537CA0" w:rsidRPr="00BA4F7F" w:rsidRDefault="00000000">
            <w:pPr>
              <w:spacing w:after="0" w:line="228" w:lineRule="auto"/>
              <w:jc w:val="left"/>
            </w:pPr>
            <w:r w:rsidRPr="00BA4F7F">
              <w:rPr>
                <w:rFonts w:ascii="Aptos" w:hAnsi="Aptos"/>
                <w:b/>
                <w:color w:val="222222"/>
                <w:sz w:val="14"/>
              </w:rPr>
              <w:t>Zespoły ratownictwa medycznego</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5871ED1D" w14:textId="77777777" w:rsidR="00537CA0" w:rsidRPr="00BA4F7F" w:rsidRDefault="00000000">
            <w:pPr>
              <w:spacing w:after="0" w:line="228" w:lineRule="auto"/>
              <w:jc w:val="center"/>
            </w:pPr>
            <w:r w:rsidRPr="00BA4F7F">
              <w:rPr>
                <w:rFonts w:ascii="Aptos" w:hAnsi="Aptos"/>
                <w:color w:val="222222"/>
                <w:sz w:val="14"/>
              </w:rPr>
              <w:t>4,55 / 100 tys.</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25A26287" w14:textId="77777777" w:rsidR="00537CA0" w:rsidRPr="00BA4F7F" w:rsidRDefault="00000000">
            <w:pPr>
              <w:spacing w:after="0" w:line="228" w:lineRule="auto"/>
              <w:jc w:val="center"/>
            </w:pPr>
            <w:r w:rsidRPr="00BA4F7F">
              <w:rPr>
                <w:rFonts w:ascii="Aptos" w:hAnsi="Aptos"/>
                <w:color w:val="222222"/>
                <w:sz w:val="14"/>
              </w:rPr>
              <w:t>76,5</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61AAAB95" w14:textId="77777777" w:rsidR="00537CA0" w:rsidRPr="00BA4F7F" w:rsidRDefault="00000000">
            <w:pPr>
              <w:spacing w:after="0" w:line="228" w:lineRule="auto"/>
              <w:jc w:val="center"/>
            </w:pPr>
            <w:r w:rsidRPr="00BA4F7F">
              <w:rPr>
                <w:rFonts w:ascii="Aptos" w:hAnsi="Aptos"/>
                <w:color w:val="222222"/>
                <w:sz w:val="14"/>
              </w:rPr>
              <w:t>30%</w:t>
            </w:r>
          </w:p>
        </w:tc>
      </w:tr>
      <w:tr w:rsidR="00537CA0" w:rsidRPr="00BA4F7F" w14:paraId="21016F9E"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8788320" w14:textId="77777777" w:rsidR="00537CA0" w:rsidRPr="00BA4F7F" w:rsidRDefault="00000000">
            <w:pPr>
              <w:spacing w:after="0" w:line="228" w:lineRule="auto"/>
              <w:jc w:val="left"/>
            </w:pPr>
            <w:r w:rsidRPr="00BA4F7F">
              <w:rPr>
                <w:rFonts w:ascii="Aptos" w:hAnsi="Aptos"/>
                <w:b/>
                <w:color w:val="222222"/>
                <w:sz w:val="14"/>
              </w:rPr>
              <w:t xml:space="preserve">Gotowość </w:t>
            </w:r>
            <w:proofErr w:type="spellStart"/>
            <w:r w:rsidRPr="00BA4F7F">
              <w:rPr>
                <w:rFonts w:ascii="Aptos" w:hAnsi="Aptos"/>
                <w:b/>
                <w:color w:val="222222"/>
                <w:sz w:val="14"/>
              </w:rPr>
              <w:t>OLiOC</w:t>
            </w:r>
            <w:proofErr w:type="spellEnd"/>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424B6D2B" w14:textId="77777777" w:rsidR="00537CA0" w:rsidRPr="00BA4F7F" w:rsidRDefault="00000000">
            <w:pPr>
              <w:spacing w:after="0" w:line="228" w:lineRule="auto"/>
              <w:jc w:val="center"/>
            </w:pPr>
            <w:r w:rsidRPr="00BA4F7F">
              <w:rPr>
                <w:rFonts w:ascii="Aptos" w:hAnsi="Aptos"/>
                <w:color w:val="222222"/>
                <w:sz w:val="14"/>
              </w:rPr>
              <w:t>39,5 pkt eksperckich</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62A7DEEA" w14:textId="77777777" w:rsidR="00537CA0" w:rsidRPr="00BA4F7F" w:rsidRDefault="00000000">
            <w:pPr>
              <w:spacing w:after="0" w:line="228" w:lineRule="auto"/>
              <w:jc w:val="center"/>
            </w:pPr>
            <w:r w:rsidRPr="00BA4F7F">
              <w:rPr>
                <w:rFonts w:ascii="Aptos" w:hAnsi="Aptos"/>
                <w:color w:val="222222"/>
                <w:sz w:val="14"/>
              </w:rPr>
              <w:t>39,5</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5D1F9E1C" w14:textId="77777777" w:rsidR="00537CA0" w:rsidRPr="00BA4F7F" w:rsidRDefault="00000000">
            <w:pPr>
              <w:spacing w:after="0" w:line="228" w:lineRule="auto"/>
              <w:jc w:val="center"/>
            </w:pPr>
            <w:r w:rsidRPr="00BA4F7F">
              <w:rPr>
                <w:rFonts w:ascii="Aptos" w:hAnsi="Aptos"/>
                <w:color w:val="222222"/>
                <w:sz w:val="14"/>
              </w:rPr>
              <w:t>40%</w:t>
            </w:r>
          </w:p>
        </w:tc>
      </w:tr>
    </w:tbl>
    <w:p w14:paraId="4F23B2E6" w14:textId="77777777" w:rsidR="00537CA0" w:rsidRPr="00BA4F7F" w:rsidRDefault="00537CA0">
      <w:pPr>
        <w:spacing w:after="20"/>
      </w:pPr>
    </w:p>
    <w:p w14:paraId="27930BBB" w14:textId="77777777" w:rsidR="00537CA0" w:rsidRPr="00BA4F7F" w:rsidRDefault="00000000">
      <w:pPr>
        <w:keepLines/>
        <w:spacing w:after="30" w:line="240" w:lineRule="auto"/>
      </w:pPr>
      <w:r w:rsidRPr="00BA4F7F">
        <w:rPr>
          <w:b/>
          <w:color w:val="1F4E79"/>
          <w:sz w:val="16"/>
        </w:rPr>
        <w:t xml:space="preserve">Funkcja w IRS i sposób liczenia. </w:t>
      </w:r>
      <w:proofErr w:type="spellStart"/>
      <w:r w:rsidRPr="00BA4F7F">
        <w:rPr>
          <w:color w:val="222222"/>
          <w:sz w:val="16"/>
        </w:rPr>
        <w:t>Subobszar</w:t>
      </w:r>
      <w:proofErr w:type="spellEnd"/>
      <w:r w:rsidRPr="00BA4F7F">
        <w:rPr>
          <w:color w:val="222222"/>
          <w:sz w:val="16"/>
        </w:rPr>
        <w:t xml:space="preserve"> ocenia zdolność państwa i wspólnot lokalnych do ochrony ludności, utrzymania podstawowych usług i odtworzenia funkcji po zakłóceniu. Łączy dane o sieci ratowniczej i medycznej z oceną ekspercką gotowości ochrony ludności i obrony cywilnej. Model rozróżnia zdolność pierwszej reakcji od odporności na długotrwały kryzys, wojnę lub awarię infrastruktury krytycznej.</w:t>
      </w:r>
    </w:p>
    <w:p w14:paraId="4F35C72B" w14:textId="77777777" w:rsidR="00537CA0" w:rsidRPr="00BA4F7F" w:rsidRDefault="00000000">
      <w:pPr>
        <w:keepLines/>
        <w:spacing w:after="30" w:line="240" w:lineRule="auto"/>
      </w:pPr>
      <w:r w:rsidRPr="00BA4F7F">
        <w:rPr>
          <w:b/>
          <w:color w:val="1F4E79"/>
          <w:sz w:val="16"/>
        </w:rPr>
        <w:t xml:space="preserve">Diagnoza i kontekst 2020–2025. </w:t>
      </w:r>
      <w:r w:rsidRPr="00BA4F7F">
        <w:rPr>
          <w:color w:val="222222"/>
          <w:sz w:val="16"/>
        </w:rPr>
        <w:t>Wynik rośnie z 56,6 pkt w 2020 r. do 65,6 pkt w 2024 r., a następnie obniża się do 63,4 pkt w 2025 r. Pandemia potwierdziła zdolność ratownictwa i ochrony zdrowia do mobilizacji, lecz ujawniła również ograniczenia zapasów, personelu i koordynacji. Po 2022 r. wojna w Ukrainie przywróciła znaczenie schronienia, alarmowania, ewakuacji i ciągłości usług. Ustawa obowiązująca od 1 stycznia 2025 r. oraz program na lata 2025–2026 tworzą podstawę prawną i finansową, ale pierwsza pełna ocena ekspercka gotowości wynosi tylko 39,5 pkt. Oznacza to lukę między gęstą siecią OSP i ratownictwa a zdolnością do funkcjonowania przez wiele dni lub tygodni.</w:t>
      </w:r>
    </w:p>
    <w:p w14:paraId="5D26AC56" w14:textId="77777777" w:rsidR="00537CA0" w:rsidRPr="00BA4F7F" w:rsidRDefault="00000000">
      <w:pPr>
        <w:keepLines/>
        <w:spacing w:after="30" w:line="240" w:lineRule="auto"/>
      </w:pPr>
      <w:r w:rsidRPr="00BA4F7F">
        <w:rPr>
          <w:b/>
          <w:color w:val="1F4E79"/>
          <w:sz w:val="16"/>
        </w:rPr>
        <w:t xml:space="preserve">Znaczenie dla racji stanu. </w:t>
      </w:r>
      <w:r w:rsidRPr="00BA4F7F">
        <w:rPr>
          <w:color w:val="222222"/>
          <w:sz w:val="16"/>
        </w:rPr>
        <w:t>Odporność cywilna jest zapleczem odstraszania. Ogranicza skuteczność presji przeciwnika, ponieważ utrudnia sparaliżowanie państwa przez uderzenie w energię, łączność, transport, wodę, zdrowie i administrację lokalną. Wymaga interoperacyjności z wojskiem, operatorami infrastruktury, samorządami i organizacjami społecznymi.</w:t>
      </w:r>
    </w:p>
    <w:p w14:paraId="2FAE58C7" w14:textId="77777777" w:rsidR="00537CA0" w:rsidRPr="00BA4F7F" w:rsidRDefault="00000000">
      <w:pPr>
        <w:keepLines/>
        <w:spacing w:after="80" w:line="250" w:lineRule="auto"/>
      </w:pPr>
      <w:r w:rsidRPr="00BA4F7F">
        <w:rPr>
          <w:color w:val="222222"/>
          <w:sz w:val="18"/>
        </w:rPr>
        <w:t>Wniosek. Polska może być bardzo skuteczna w reagowaniu na wiele krótkich zdarzeń dzięki rozproszonej sieci ratowniczej, a równocześnie słabiej przygotowana do jednego długiego zakłócenia. Odporność wojennej gospodarki i społeczeństwa zależy mniej od liczby jednostek pierwszej reakcji niż od zapasów, rotacji personelu, zasilania rezerwowego i czasu odtworzenia usług.</w:t>
      </w:r>
    </w:p>
    <w:tbl>
      <w:tblPr>
        <w:tblW w:w="0" w:type="auto"/>
        <w:jc w:val="center"/>
        <w:tblLayout w:type="fixed"/>
        <w:tblLook w:val="04A0" w:firstRow="1" w:lastRow="0" w:firstColumn="1" w:lastColumn="0" w:noHBand="0" w:noVBand="1"/>
      </w:tblPr>
      <w:tblGrid>
        <w:gridCol w:w="1474"/>
        <w:gridCol w:w="7540"/>
      </w:tblGrid>
      <w:tr w:rsidR="00537CA0" w:rsidRPr="00BA4F7F" w14:paraId="5C9446C7"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4E909598"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1BC7D71D" w14:textId="77777777" w:rsidR="00537CA0" w:rsidRPr="00BA4F7F" w:rsidRDefault="00000000">
            <w:pPr>
              <w:spacing w:after="0" w:line="240" w:lineRule="auto"/>
              <w:jc w:val="left"/>
            </w:pPr>
            <w:r w:rsidRPr="00BA4F7F">
              <w:rPr>
                <w:color w:val="222222"/>
                <w:sz w:val="15"/>
              </w:rPr>
              <w:t>Przełożenie nowych ram na lokalne zdolności: audyt schronienia, normy zapasów, rezerwową energię i łączność, plany ewakuacji, wspólne ćwiczenia oraz mierniki ciągłości i odtworzenia usług.</w:t>
            </w:r>
          </w:p>
        </w:tc>
      </w:tr>
      <w:tr w:rsidR="00537CA0" w:rsidRPr="00BA4F7F" w14:paraId="256A2CA2"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3F6C38EE"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35D0C6DF" w14:textId="77777777" w:rsidR="00537CA0" w:rsidRPr="00BA4F7F" w:rsidRDefault="00000000">
            <w:pPr>
              <w:spacing w:after="0" w:line="240" w:lineRule="auto"/>
              <w:jc w:val="left"/>
            </w:pPr>
            <w:r w:rsidRPr="00BA4F7F">
              <w:rPr>
                <w:color w:val="222222"/>
                <w:sz w:val="15"/>
              </w:rPr>
              <w:t>Cykliczne ćwiczenia wielosektorowe, zamykanie wykrytych luk, zweryfikowane zasoby ochronne i rezerwy oraz audytowane czasy utrzymania i odtworzenia podstawowych funkcji.</w:t>
            </w:r>
          </w:p>
        </w:tc>
      </w:tr>
    </w:tbl>
    <w:p w14:paraId="753F1199" w14:textId="77777777" w:rsidR="00537CA0" w:rsidRPr="00BA4F7F" w:rsidRDefault="00537CA0">
      <w:pPr>
        <w:pStyle w:val="SourceNote"/>
        <w:keepLines/>
        <w:spacing w:before="30" w:after="0"/>
        <w:rPr>
          <w:lang w:val="pl-PL"/>
        </w:rPr>
      </w:pPr>
    </w:p>
    <w:p w14:paraId="0F93171E" w14:textId="77777777" w:rsidR="00537CA0" w:rsidRPr="00BA4F7F" w:rsidRDefault="00000000">
      <w:pPr>
        <w:spacing w:after="0"/>
      </w:pPr>
      <w:r w:rsidRPr="00BA4F7F">
        <w:br w:type="page"/>
      </w:r>
    </w:p>
    <w:p w14:paraId="18EA892E" w14:textId="77777777" w:rsidR="00537CA0" w:rsidRPr="00BA4F7F" w:rsidRDefault="00000000">
      <w:pPr>
        <w:pStyle w:val="Nagwek2"/>
        <w:spacing w:before="0" w:after="60"/>
      </w:pPr>
      <w:r w:rsidRPr="00BA4F7F">
        <w:rPr>
          <w:rFonts w:ascii="Aptos Display" w:hAnsi="Aptos Display"/>
          <w:sz w:val="30"/>
        </w:rPr>
        <w:lastRenderedPageBreak/>
        <w:t>14A.7. Bezpieczeństwo publiczne</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3D7B1E03"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789D74C9" w14:textId="77777777" w:rsidR="00537CA0" w:rsidRPr="00BA4F7F" w:rsidRDefault="00000000">
            <w:pPr>
              <w:spacing w:after="0" w:line="240" w:lineRule="auto"/>
              <w:jc w:val="left"/>
            </w:pPr>
            <w:r w:rsidRPr="00BA4F7F">
              <w:rPr>
                <w:rFonts w:ascii="Aptos" w:hAnsi="Aptos"/>
                <w:b/>
                <w:color w:val="FFFFFF"/>
                <w:sz w:val="14"/>
              </w:rPr>
              <w:t>WYNIK 2025</w:t>
            </w:r>
            <w:r w:rsidRPr="00BA4F7F">
              <w:rPr>
                <w:rFonts w:ascii="Aptos" w:hAnsi="Aptos"/>
                <w:b/>
                <w:color w:val="FFFFFF"/>
                <w:sz w:val="14"/>
              </w:rPr>
              <w:br/>
            </w:r>
            <w:r w:rsidRPr="00BA4F7F">
              <w:rPr>
                <w:rFonts w:ascii="Aptos" w:hAnsi="Aptos"/>
                <w:b/>
                <w:color w:val="FFFFFF"/>
                <w:sz w:val="34"/>
              </w:rPr>
              <w:t>64,6</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4B96435F" w14:textId="77777777" w:rsidR="00537CA0" w:rsidRPr="00BA4F7F" w:rsidRDefault="00000000">
            <w:pPr>
              <w:spacing w:after="0" w:line="240" w:lineRule="auto"/>
              <w:jc w:val="left"/>
            </w:pPr>
            <w:r w:rsidRPr="00BA4F7F">
              <w:rPr>
                <w:rFonts w:ascii="Aptos" w:hAnsi="Aptos"/>
                <w:b/>
                <w:color w:val="FFFFFF"/>
                <w:sz w:val="14"/>
              </w:rPr>
              <w:t>ZMIANA 2020–2025</w:t>
            </w:r>
            <w:r w:rsidRPr="00BA4F7F">
              <w:rPr>
                <w:rFonts w:ascii="Aptos" w:hAnsi="Aptos"/>
                <w:b/>
                <w:color w:val="FFFFFF"/>
                <w:sz w:val="14"/>
              </w:rPr>
              <w:br/>
            </w:r>
            <w:r w:rsidRPr="00BA4F7F">
              <w:rPr>
                <w:rFonts w:ascii="Aptos" w:hAnsi="Aptos"/>
                <w:b/>
                <w:color w:val="FFFFFF"/>
                <w:sz w:val="34"/>
              </w:rPr>
              <w:t>−12,8</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5EA37332"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umiarkowanie dobra odporność</w:t>
            </w:r>
          </w:p>
          <w:p w14:paraId="3F871D48" w14:textId="77777777" w:rsidR="003357E9" w:rsidRPr="00BA4F7F" w:rsidRDefault="00000000">
            <w:pPr>
              <w:spacing w:before="60" w:after="0"/>
            </w:pPr>
            <w:r w:rsidRPr="00BA4F7F">
              <w:rPr>
                <w:b/>
                <w:color w:val="666666"/>
                <w:sz w:val="14"/>
              </w:rPr>
              <w:t>STATUS OSTRZEGAWCZY 2025</w:t>
            </w:r>
            <w:r w:rsidRPr="00BA4F7F">
              <w:rPr>
                <w:b/>
                <w:color w:val="666666"/>
                <w:sz w:val="14"/>
              </w:rPr>
              <w:br/>
            </w:r>
            <w:r w:rsidRPr="00BA4F7F">
              <w:rPr>
                <w:b/>
                <w:color w:val="2F75B5"/>
                <w:sz w:val="16"/>
              </w:rPr>
              <w:t>POGORSZENIE STRUKTURALNE</w:t>
            </w:r>
          </w:p>
        </w:tc>
      </w:tr>
    </w:tbl>
    <w:p w14:paraId="373B1E2D" w14:textId="77777777" w:rsidR="00537CA0" w:rsidRPr="00BA4F7F" w:rsidRDefault="00000000">
      <w:pPr>
        <w:keepLines/>
        <w:spacing w:before="20" w:after="30"/>
        <w:jc w:val="center"/>
      </w:pPr>
      <w:r w:rsidRPr="00BA4F7F">
        <w:rPr>
          <w:noProof/>
        </w:rPr>
        <w:drawing>
          <wp:inline distT="0" distB="0" distL="0" distR="0" wp14:anchorId="3AD6DFCE" wp14:editId="6054B455">
            <wp:extent cx="5688000" cy="1119183"/>
            <wp:effectExtent l="0" t="0" r="0" b="0"/>
            <wp:docPr id="1690576327" name="Picture 1690576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7.png"/>
                    <pic:cNvPicPr/>
                  </pic:nvPicPr>
                  <pic:blipFill>
                    <a:blip r:embed="rId31"/>
                    <a:stretch>
                      <a:fillRect/>
                    </a:stretch>
                  </pic:blipFill>
                  <pic:spPr>
                    <a:xfrm>
                      <a:off x="0" y="0"/>
                      <a:ext cx="5688000" cy="1119183"/>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3969"/>
        <w:gridCol w:w="2154"/>
        <w:gridCol w:w="1531"/>
        <w:gridCol w:w="1361"/>
      </w:tblGrid>
      <w:tr w:rsidR="00537CA0" w:rsidRPr="00BA4F7F" w14:paraId="2DAE7E42" w14:textId="77777777">
        <w:trPr>
          <w:cantSplit/>
          <w:tblHeader/>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720169F4" w14:textId="77777777" w:rsidR="00537CA0" w:rsidRPr="00BA4F7F" w:rsidRDefault="00000000">
            <w:pPr>
              <w:spacing w:after="0"/>
              <w:jc w:val="center"/>
            </w:pPr>
            <w:r w:rsidRPr="00BA4F7F">
              <w:rPr>
                <w:rFonts w:ascii="Aptos" w:hAnsi="Aptos"/>
                <w:b/>
                <w:color w:val="FFFFFF"/>
                <w:sz w:val="14"/>
              </w:rPr>
              <w:t>Składnik modelu</w:t>
            </w:r>
          </w:p>
        </w:tc>
        <w:tc>
          <w:tcPr>
            <w:tcW w:w="2154"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3B4AAC07" w14:textId="77777777" w:rsidR="00537CA0" w:rsidRPr="00BA4F7F" w:rsidRDefault="00000000">
            <w:pPr>
              <w:spacing w:after="0"/>
              <w:jc w:val="center"/>
            </w:pPr>
            <w:r w:rsidRPr="00BA4F7F">
              <w:rPr>
                <w:rFonts w:ascii="Aptos" w:hAnsi="Aptos"/>
                <w:b/>
                <w:color w:val="FFFFFF"/>
                <w:sz w:val="14"/>
              </w:rPr>
              <w:t>Wartość / ocena 2025</w:t>
            </w:r>
          </w:p>
        </w:tc>
        <w:tc>
          <w:tcPr>
            <w:tcW w:w="153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3AB66215" w14:textId="77777777" w:rsidR="00537CA0" w:rsidRPr="00BA4F7F" w:rsidRDefault="00000000">
            <w:pPr>
              <w:spacing w:after="0"/>
              <w:jc w:val="center"/>
            </w:pPr>
            <w:r w:rsidRPr="00BA4F7F">
              <w:rPr>
                <w:rFonts w:ascii="Aptos" w:hAnsi="Aptos"/>
                <w:b/>
                <w:color w:val="FFFFFF"/>
                <w:sz w:val="14"/>
              </w:rPr>
              <w:t>Punkty IRS</w:t>
            </w:r>
          </w:p>
        </w:tc>
        <w:tc>
          <w:tcPr>
            <w:tcW w:w="136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01DD9BCB" w14:textId="77777777" w:rsidR="00537CA0" w:rsidRPr="00BA4F7F" w:rsidRDefault="00000000">
            <w:pPr>
              <w:spacing w:after="0"/>
              <w:jc w:val="center"/>
            </w:pPr>
            <w:r w:rsidRPr="00BA4F7F">
              <w:rPr>
                <w:rFonts w:ascii="Aptos" w:hAnsi="Aptos"/>
                <w:b/>
                <w:color w:val="FFFFFF"/>
                <w:sz w:val="14"/>
              </w:rPr>
              <w:t>Waga</w:t>
            </w:r>
          </w:p>
        </w:tc>
      </w:tr>
      <w:tr w:rsidR="00537CA0" w:rsidRPr="00BA4F7F" w14:paraId="1E87F801"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A2E76B5" w14:textId="77777777" w:rsidR="00537CA0" w:rsidRPr="00BA4F7F" w:rsidRDefault="00000000">
            <w:pPr>
              <w:spacing w:after="0" w:line="228" w:lineRule="auto"/>
              <w:jc w:val="left"/>
            </w:pPr>
            <w:r w:rsidRPr="00BA4F7F">
              <w:rPr>
                <w:rFonts w:ascii="Aptos" w:hAnsi="Aptos"/>
                <w:b/>
                <w:color w:val="222222"/>
                <w:sz w:val="14"/>
              </w:rPr>
              <w:t>Kontrola granicy</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038CC83D" w14:textId="77777777" w:rsidR="00537CA0" w:rsidRPr="00BA4F7F" w:rsidRDefault="00000000">
            <w:pPr>
              <w:spacing w:after="0" w:line="228" w:lineRule="auto"/>
              <w:jc w:val="center"/>
            </w:pPr>
            <w:r w:rsidRPr="00BA4F7F">
              <w:rPr>
                <w:rFonts w:ascii="Aptos" w:hAnsi="Aptos"/>
                <w:color w:val="222222"/>
                <w:sz w:val="14"/>
              </w:rPr>
              <w:t>70 pkt</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4AEA6E67" w14:textId="77777777" w:rsidR="00537CA0" w:rsidRPr="00BA4F7F" w:rsidRDefault="00000000">
            <w:pPr>
              <w:spacing w:after="0" w:line="228" w:lineRule="auto"/>
              <w:jc w:val="center"/>
            </w:pPr>
            <w:r w:rsidRPr="00BA4F7F">
              <w:rPr>
                <w:rFonts w:ascii="Aptos" w:hAnsi="Aptos"/>
                <w:color w:val="222222"/>
                <w:sz w:val="14"/>
              </w:rPr>
              <w:t>70,0</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E9A3FA2" w14:textId="77777777" w:rsidR="00537CA0" w:rsidRPr="00BA4F7F" w:rsidRDefault="00000000">
            <w:pPr>
              <w:spacing w:after="0" w:line="228" w:lineRule="auto"/>
              <w:jc w:val="center"/>
            </w:pPr>
            <w:r w:rsidRPr="00BA4F7F">
              <w:rPr>
                <w:rFonts w:ascii="Aptos" w:hAnsi="Aptos"/>
                <w:color w:val="222222"/>
                <w:sz w:val="14"/>
              </w:rPr>
              <w:t>35%</w:t>
            </w:r>
          </w:p>
        </w:tc>
      </w:tr>
      <w:tr w:rsidR="00537CA0" w:rsidRPr="00BA4F7F" w14:paraId="58FA9676"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61420325" w14:textId="77777777" w:rsidR="00537CA0" w:rsidRPr="00BA4F7F" w:rsidRDefault="00000000">
            <w:pPr>
              <w:spacing w:after="0" w:line="228" w:lineRule="auto"/>
              <w:jc w:val="left"/>
            </w:pPr>
            <w:r w:rsidRPr="00BA4F7F">
              <w:rPr>
                <w:rFonts w:ascii="Aptos" w:hAnsi="Aptos"/>
                <w:b/>
                <w:color w:val="222222"/>
                <w:sz w:val="14"/>
              </w:rPr>
              <w:t>Egzekwowanie prawa migracyjnego</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3C7F98E7" w14:textId="77777777" w:rsidR="00537CA0" w:rsidRPr="00BA4F7F" w:rsidRDefault="00000000">
            <w:pPr>
              <w:spacing w:after="0" w:line="228" w:lineRule="auto"/>
              <w:jc w:val="center"/>
            </w:pPr>
            <w:r w:rsidRPr="00BA4F7F">
              <w:rPr>
                <w:rFonts w:ascii="Aptos" w:hAnsi="Aptos"/>
                <w:color w:val="222222"/>
                <w:sz w:val="14"/>
              </w:rPr>
              <w:t>72 pkt</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619B66E" w14:textId="77777777" w:rsidR="00537CA0" w:rsidRPr="00BA4F7F" w:rsidRDefault="00000000">
            <w:pPr>
              <w:spacing w:after="0" w:line="228" w:lineRule="auto"/>
              <w:jc w:val="center"/>
            </w:pPr>
            <w:r w:rsidRPr="00BA4F7F">
              <w:rPr>
                <w:rFonts w:ascii="Aptos" w:hAnsi="Aptos"/>
                <w:color w:val="222222"/>
                <w:sz w:val="14"/>
              </w:rPr>
              <w:t>72,0</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23784BA4" w14:textId="77777777" w:rsidR="00537CA0" w:rsidRPr="00BA4F7F" w:rsidRDefault="00000000">
            <w:pPr>
              <w:spacing w:after="0" w:line="228" w:lineRule="auto"/>
              <w:jc w:val="center"/>
            </w:pPr>
            <w:r w:rsidRPr="00BA4F7F">
              <w:rPr>
                <w:rFonts w:ascii="Aptos" w:hAnsi="Aptos"/>
                <w:color w:val="222222"/>
                <w:sz w:val="14"/>
              </w:rPr>
              <w:t>25%</w:t>
            </w:r>
          </w:p>
        </w:tc>
      </w:tr>
      <w:tr w:rsidR="00537CA0" w:rsidRPr="00BA4F7F" w14:paraId="52BB947A"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206B1C70" w14:textId="77777777" w:rsidR="00537CA0" w:rsidRPr="00BA4F7F" w:rsidRDefault="00000000">
            <w:pPr>
              <w:spacing w:after="0" w:line="228" w:lineRule="auto"/>
              <w:jc w:val="left"/>
            </w:pPr>
            <w:r w:rsidRPr="00BA4F7F">
              <w:rPr>
                <w:rFonts w:ascii="Aptos" w:hAnsi="Aptos"/>
                <w:b/>
                <w:color w:val="222222"/>
                <w:sz w:val="14"/>
              </w:rPr>
              <w:t>Suwerenność decyzyjna</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482EB9EC" w14:textId="77777777" w:rsidR="00537CA0" w:rsidRPr="00BA4F7F" w:rsidRDefault="00000000">
            <w:pPr>
              <w:spacing w:after="0" w:line="228" w:lineRule="auto"/>
              <w:jc w:val="center"/>
            </w:pPr>
            <w:r w:rsidRPr="00BA4F7F">
              <w:rPr>
                <w:rFonts w:ascii="Aptos" w:hAnsi="Aptos"/>
                <w:color w:val="222222"/>
                <w:sz w:val="14"/>
              </w:rPr>
              <w:t>45 pkt</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439F6648" w14:textId="77777777" w:rsidR="00537CA0" w:rsidRPr="00BA4F7F" w:rsidRDefault="00000000">
            <w:pPr>
              <w:spacing w:after="0" w:line="228" w:lineRule="auto"/>
              <w:jc w:val="center"/>
            </w:pPr>
            <w:r w:rsidRPr="00BA4F7F">
              <w:rPr>
                <w:rFonts w:ascii="Aptos" w:hAnsi="Aptos"/>
                <w:color w:val="222222"/>
                <w:sz w:val="14"/>
              </w:rPr>
              <w:t>45,0</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55239FF0" w14:textId="77777777" w:rsidR="00537CA0" w:rsidRPr="00BA4F7F" w:rsidRDefault="00000000">
            <w:pPr>
              <w:spacing w:after="0" w:line="228" w:lineRule="auto"/>
              <w:jc w:val="center"/>
            </w:pPr>
            <w:r w:rsidRPr="00BA4F7F">
              <w:rPr>
                <w:rFonts w:ascii="Aptos" w:hAnsi="Aptos"/>
                <w:color w:val="222222"/>
                <w:sz w:val="14"/>
              </w:rPr>
              <w:t>25%</w:t>
            </w:r>
          </w:p>
        </w:tc>
      </w:tr>
      <w:tr w:rsidR="00537CA0" w:rsidRPr="00BA4F7F" w14:paraId="4D9B6102"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13BE171" w14:textId="77777777" w:rsidR="00537CA0" w:rsidRPr="00BA4F7F" w:rsidRDefault="00000000">
            <w:pPr>
              <w:spacing w:after="0" w:line="228" w:lineRule="auto"/>
              <w:jc w:val="left"/>
            </w:pPr>
            <w:r w:rsidRPr="00BA4F7F">
              <w:rPr>
                <w:rFonts w:ascii="Aptos" w:hAnsi="Aptos"/>
                <w:b/>
                <w:color w:val="222222"/>
                <w:sz w:val="14"/>
              </w:rPr>
              <w:t>Koordynacja systemu</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71446CB6" w14:textId="77777777" w:rsidR="00537CA0" w:rsidRPr="00BA4F7F" w:rsidRDefault="00000000">
            <w:pPr>
              <w:spacing w:after="0" w:line="228" w:lineRule="auto"/>
              <w:jc w:val="center"/>
            </w:pPr>
            <w:r w:rsidRPr="00BA4F7F">
              <w:rPr>
                <w:rFonts w:ascii="Aptos" w:hAnsi="Aptos"/>
                <w:color w:val="222222"/>
                <w:sz w:val="14"/>
              </w:rPr>
              <w:t>72 pkt</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690B78F4" w14:textId="77777777" w:rsidR="00537CA0" w:rsidRPr="00BA4F7F" w:rsidRDefault="00000000">
            <w:pPr>
              <w:spacing w:after="0" w:line="228" w:lineRule="auto"/>
              <w:jc w:val="center"/>
            </w:pPr>
            <w:r w:rsidRPr="00BA4F7F">
              <w:rPr>
                <w:rFonts w:ascii="Aptos" w:hAnsi="Aptos"/>
                <w:color w:val="222222"/>
                <w:sz w:val="14"/>
              </w:rPr>
              <w:t>72,0</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782C112A" w14:textId="77777777" w:rsidR="00537CA0" w:rsidRPr="00BA4F7F" w:rsidRDefault="00000000">
            <w:pPr>
              <w:spacing w:after="0" w:line="228" w:lineRule="auto"/>
              <w:jc w:val="center"/>
            </w:pPr>
            <w:r w:rsidRPr="00BA4F7F">
              <w:rPr>
                <w:rFonts w:ascii="Aptos" w:hAnsi="Aptos"/>
                <w:color w:val="222222"/>
                <w:sz w:val="14"/>
              </w:rPr>
              <w:t>15%</w:t>
            </w:r>
          </w:p>
        </w:tc>
      </w:tr>
    </w:tbl>
    <w:p w14:paraId="5CE5612B" w14:textId="77777777" w:rsidR="00537CA0" w:rsidRPr="00BA4F7F" w:rsidRDefault="00537CA0">
      <w:pPr>
        <w:spacing w:after="20"/>
      </w:pPr>
    </w:p>
    <w:p w14:paraId="66CD877C" w14:textId="77777777" w:rsidR="00537CA0" w:rsidRPr="00BA4F7F" w:rsidRDefault="00000000">
      <w:pPr>
        <w:keepLines/>
        <w:spacing w:after="30" w:line="240" w:lineRule="auto"/>
      </w:pPr>
      <w:r w:rsidRPr="00BA4F7F">
        <w:rPr>
          <w:b/>
          <w:color w:val="1F4E79"/>
          <w:sz w:val="16"/>
        </w:rPr>
        <w:t xml:space="preserve">Funkcja w IRS i sposób liczenia. </w:t>
      </w:r>
      <w:r w:rsidRPr="00BA4F7F">
        <w:rPr>
          <w:color w:val="222222"/>
          <w:sz w:val="16"/>
        </w:rPr>
        <w:t xml:space="preserve">W modelu </w:t>
      </w:r>
      <w:proofErr w:type="spellStart"/>
      <w:r w:rsidRPr="00BA4F7F">
        <w:rPr>
          <w:color w:val="222222"/>
          <w:sz w:val="16"/>
        </w:rPr>
        <w:t>subobszar</w:t>
      </w:r>
      <w:proofErr w:type="spellEnd"/>
      <w:r w:rsidRPr="00BA4F7F">
        <w:rPr>
          <w:color w:val="222222"/>
          <w:sz w:val="16"/>
        </w:rPr>
        <w:t xml:space="preserve"> ocenia zdolność do ochrony granicy, zarządzania presją migracyjną i hybrydową oraz utrzymywania suwerenności decyzyjnej i spójności działań państwa. Jest to ocena ekspercko-dokumentacyjna, a nie statystyczna miara ogólnej przestępczości. Punktacja obejmuje adekwatność reakcji, ciągłość, efekt oraz egzekucję i korektę.</w:t>
      </w:r>
    </w:p>
    <w:p w14:paraId="75D38A38" w14:textId="77777777" w:rsidR="00537CA0" w:rsidRPr="00BA4F7F" w:rsidRDefault="00000000">
      <w:pPr>
        <w:keepLines/>
        <w:spacing w:after="30" w:line="240" w:lineRule="auto"/>
      </w:pPr>
      <w:r w:rsidRPr="00BA4F7F">
        <w:rPr>
          <w:b/>
          <w:color w:val="1F4E79"/>
          <w:sz w:val="16"/>
        </w:rPr>
        <w:t xml:space="preserve">Diagnoza i kontekst 2020–2025. </w:t>
      </w:r>
      <w:r w:rsidRPr="00BA4F7F">
        <w:rPr>
          <w:color w:val="222222"/>
          <w:sz w:val="16"/>
        </w:rPr>
        <w:t>Wynik wzrósł z 77,3 pkt w 2020 r. do 81,3 pkt w 2021 r. i około 87,5 pkt w latach 2022–2023, po czym spadł do 68,3 pkt w 2024 r. i 64,6 pkt w 2025 r. W 2021 r. instrumentalizacja migracji przez Białoruś była testem ochrony granicy i koordynacji. W 2022 r. Polska równocześnie wzmacniała granicę zewnętrzną i przyjęła masowy napływ uchodźców wojennych z Ukrainy. Niższe oceny 2024–2025 dotyczą przede wszystkim trwałości podstaw prawnych, koordynacji polityki migracyjnej, egzekucji i zdolności do łączenia bezpieczeństwa z integracją, nie zaś prostego twierdzenia o spadku bezpieczeństwa obywateli.</w:t>
      </w:r>
    </w:p>
    <w:p w14:paraId="4F6A6EF1" w14:textId="77777777" w:rsidR="00537CA0" w:rsidRPr="00BA4F7F" w:rsidRDefault="00000000">
      <w:pPr>
        <w:keepLines/>
        <w:spacing w:after="30" w:line="240" w:lineRule="auto"/>
      </w:pPr>
      <w:r w:rsidRPr="00BA4F7F">
        <w:rPr>
          <w:b/>
          <w:color w:val="1F4E79"/>
          <w:sz w:val="16"/>
        </w:rPr>
        <w:t xml:space="preserve">Znaczenie dla racji stanu. </w:t>
      </w:r>
      <w:r w:rsidRPr="00BA4F7F">
        <w:rPr>
          <w:color w:val="222222"/>
          <w:sz w:val="16"/>
        </w:rPr>
        <w:t xml:space="preserve">Ochrona granicy oddziałuje na relacje sojusznicze, spójność społeczną, rynek pracy i legalność działania państwa. Skuteczność operacyjna pozostaje trwała tylko wtedy, gdy decyzje mają stabilną podstawę prawną, są konsekwentnie wykonywane i wspierane przez politykę azylową, </w:t>
      </w:r>
      <w:proofErr w:type="spellStart"/>
      <w:r w:rsidRPr="00BA4F7F">
        <w:rPr>
          <w:color w:val="222222"/>
          <w:sz w:val="16"/>
        </w:rPr>
        <w:t>powrotową</w:t>
      </w:r>
      <w:proofErr w:type="spellEnd"/>
      <w:r w:rsidRPr="00BA4F7F">
        <w:rPr>
          <w:color w:val="222222"/>
          <w:sz w:val="16"/>
        </w:rPr>
        <w:t xml:space="preserve"> oraz integracyjną.</w:t>
      </w:r>
    </w:p>
    <w:p w14:paraId="412F0345" w14:textId="77777777" w:rsidR="00537CA0" w:rsidRPr="00BA4F7F" w:rsidRDefault="00000000">
      <w:pPr>
        <w:keepLines/>
        <w:spacing w:after="80" w:line="250" w:lineRule="auto"/>
      </w:pPr>
      <w:r w:rsidRPr="00BA4F7F">
        <w:rPr>
          <w:color w:val="222222"/>
          <w:sz w:val="18"/>
        </w:rPr>
        <w:t>Wniosek. Państwo może działać skutecznie na granicy w krótkim okresie, a jednocześnie tracić odporność strategiczną, jeżeli kolejne rozwiązania pozostają wyjątkowe, prawnie sporne lub słabo połączone z zarządzaniem migracją wewnątrz kraju. Operacyjna kontrola przepływu nie zastępuje trwałej polityki ludnościowej, pracy i integracji.</w:t>
      </w:r>
    </w:p>
    <w:tbl>
      <w:tblPr>
        <w:tblW w:w="0" w:type="auto"/>
        <w:jc w:val="center"/>
        <w:tblLayout w:type="fixed"/>
        <w:tblLook w:val="04A0" w:firstRow="1" w:lastRow="0" w:firstColumn="1" w:lastColumn="0" w:noHBand="0" w:noVBand="1"/>
      </w:tblPr>
      <w:tblGrid>
        <w:gridCol w:w="1474"/>
        <w:gridCol w:w="7540"/>
      </w:tblGrid>
      <w:tr w:rsidR="00537CA0" w:rsidRPr="00BA4F7F" w14:paraId="620579C2"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439D413D"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02DC8C78" w14:textId="77777777" w:rsidR="00537CA0" w:rsidRPr="00BA4F7F" w:rsidRDefault="00000000">
            <w:pPr>
              <w:spacing w:after="0" w:line="240" w:lineRule="auto"/>
              <w:jc w:val="left"/>
            </w:pPr>
            <w:r w:rsidRPr="00BA4F7F">
              <w:rPr>
                <w:color w:val="222222"/>
                <w:sz w:val="15"/>
              </w:rPr>
              <w:t>Spójna doktryna ochrony granic i migracji, łącząca suwerenność decyzyjną, stabilną podstawę prawną, egzekucję, współpracę służb oraz selektywną integrację osób legalnie przebywających w Polsce.</w:t>
            </w:r>
          </w:p>
        </w:tc>
      </w:tr>
      <w:tr w:rsidR="00537CA0" w:rsidRPr="00BA4F7F" w14:paraId="165B1C6A"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071D0117"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7EBF9243" w14:textId="77777777" w:rsidR="00537CA0" w:rsidRPr="00BA4F7F" w:rsidRDefault="00000000">
            <w:pPr>
              <w:spacing w:after="0" w:line="240" w:lineRule="auto"/>
              <w:jc w:val="left"/>
            </w:pPr>
            <w:r w:rsidRPr="00BA4F7F">
              <w:rPr>
                <w:color w:val="222222"/>
                <w:sz w:val="15"/>
              </w:rPr>
              <w:t>Mierzalna skuteczność kontroli i powrotów, krótsze i stabilne procedury, interoperacyjność służb, ograniczenie działań ad hoc oraz brak trwałego wzrostu napięć i kosztów integracyjnych.</w:t>
            </w:r>
          </w:p>
        </w:tc>
      </w:tr>
    </w:tbl>
    <w:p w14:paraId="405DBC97" w14:textId="77777777" w:rsidR="00537CA0" w:rsidRPr="00BA4F7F" w:rsidRDefault="00537CA0">
      <w:pPr>
        <w:pStyle w:val="SourceNote"/>
        <w:keepLines/>
        <w:spacing w:before="30" w:after="0"/>
        <w:rPr>
          <w:lang w:val="pl-PL"/>
        </w:rPr>
      </w:pPr>
    </w:p>
    <w:p w14:paraId="6718BB87" w14:textId="77777777" w:rsidR="00537CA0" w:rsidRPr="00BA4F7F" w:rsidRDefault="00000000">
      <w:pPr>
        <w:spacing w:after="0"/>
      </w:pPr>
      <w:r w:rsidRPr="00BA4F7F">
        <w:br w:type="page"/>
      </w:r>
    </w:p>
    <w:p w14:paraId="3ADF1F9B" w14:textId="77777777" w:rsidR="00537CA0" w:rsidRPr="00BA4F7F" w:rsidRDefault="00000000">
      <w:pPr>
        <w:pStyle w:val="Nagwek2"/>
        <w:spacing w:before="0" w:after="60"/>
      </w:pPr>
      <w:r w:rsidRPr="00BA4F7F">
        <w:rPr>
          <w:rFonts w:ascii="Aptos Display" w:hAnsi="Aptos Display"/>
          <w:sz w:val="30"/>
        </w:rPr>
        <w:lastRenderedPageBreak/>
        <w:t>14A.8. Stan i struktura ludności</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1CADAEBD"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1CCC56ED" w14:textId="77777777" w:rsidR="00537CA0" w:rsidRPr="00BA4F7F" w:rsidRDefault="00000000">
            <w:pPr>
              <w:spacing w:after="0" w:line="240" w:lineRule="auto"/>
              <w:jc w:val="left"/>
            </w:pPr>
            <w:r w:rsidRPr="00BA4F7F">
              <w:rPr>
                <w:rFonts w:ascii="Aptos" w:hAnsi="Aptos"/>
                <w:b/>
                <w:color w:val="FFFFFF"/>
                <w:sz w:val="14"/>
              </w:rPr>
              <w:t>WYNIK 2025</w:t>
            </w:r>
            <w:r w:rsidRPr="00BA4F7F">
              <w:rPr>
                <w:rFonts w:ascii="Aptos" w:hAnsi="Aptos"/>
                <w:b/>
                <w:color w:val="FFFFFF"/>
                <w:sz w:val="14"/>
              </w:rPr>
              <w:br/>
            </w:r>
            <w:r w:rsidRPr="00BA4F7F">
              <w:rPr>
                <w:rFonts w:ascii="Aptos" w:hAnsi="Aptos"/>
                <w:b/>
                <w:color w:val="FFFFFF"/>
                <w:sz w:val="34"/>
              </w:rPr>
              <w:t>44,5</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662F7EDD" w14:textId="77777777" w:rsidR="00537CA0" w:rsidRPr="00BA4F7F" w:rsidRDefault="00000000">
            <w:pPr>
              <w:spacing w:after="0" w:line="240" w:lineRule="auto"/>
              <w:jc w:val="left"/>
            </w:pPr>
            <w:r w:rsidRPr="00BA4F7F">
              <w:rPr>
                <w:rFonts w:ascii="Aptos" w:hAnsi="Aptos"/>
                <w:b/>
                <w:color w:val="FFFFFF"/>
                <w:sz w:val="14"/>
              </w:rPr>
              <w:t>ZMIANA 2020–2025</w:t>
            </w:r>
            <w:r w:rsidRPr="00BA4F7F">
              <w:rPr>
                <w:rFonts w:ascii="Aptos" w:hAnsi="Aptos"/>
                <w:b/>
                <w:color w:val="FFFFFF"/>
                <w:sz w:val="14"/>
              </w:rPr>
              <w:br/>
            </w:r>
            <w:r w:rsidRPr="00BA4F7F">
              <w:rPr>
                <w:rFonts w:ascii="Aptos" w:hAnsi="Aptos"/>
                <w:b/>
                <w:color w:val="FFFFFF"/>
                <w:sz w:val="34"/>
              </w:rPr>
              <w:t>−16,8</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4722CA0A"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słaba lub niepełna odporność</w:t>
            </w:r>
          </w:p>
        </w:tc>
      </w:tr>
    </w:tbl>
    <w:p w14:paraId="4E15389D" w14:textId="77777777" w:rsidR="00537CA0" w:rsidRPr="00BA4F7F" w:rsidRDefault="00000000">
      <w:pPr>
        <w:keepLines/>
        <w:spacing w:before="20" w:after="30"/>
        <w:jc w:val="center"/>
      </w:pPr>
      <w:r w:rsidRPr="00BA4F7F">
        <w:rPr>
          <w:noProof/>
        </w:rPr>
        <w:drawing>
          <wp:inline distT="0" distB="0" distL="0" distR="0" wp14:anchorId="2C96FA32" wp14:editId="3709176C">
            <wp:extent cx="5688000" cy="1119183"/>
            <wp:effectExtent l="0" t="0" r="0" b="0"/>
            <wp:docPr id="1690576328" name="Picture 1690576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8.png"/>
                    <pic:cNvPicPr/>
                  </pic:nvPicPr>
                  <pic:blipFill>
                    <a:blip r:embed="rId32"/>
                    <a:stretch>
                      <a:fillRect/>
                    </a:stretch>
                  </pic:blipFill>
                  <pic:spPr>
                    <a:xfrm>
                      <a:off x="0" y="0"/>
                      <a:ext cx="5688000" cy="1119183"/>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3969"/>
        <w:gridCol w:w="2154"/>
        <w:gridCol w:w="1531"/>
        <w:gridCol w:w="1361"/>
      </w:tblGrid>
      <w:tr w:rsidR="00537CA0" w:rsidRPr="00BA4F7F" w14:paraId="37320CCE" w14:textId="77777777">
        <w:trPr>
          <w:cantSplit/>
          <w:tblHeader/>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1F29C278" w14:textId="77777777" w:rsidR="00537CA0" w:rsidRPr="00BA4F7F" w:rsidRDefault="00000000">
            <w:pPr>
              <w:spacing w:after="0"/>
              <w:jc w:val="center"/>
            </w:pPr>
            <w:r w:rsidRPr="00BA4F7F">
              <w:rPr>
                <w:rFonts w:ascii="Aptos" w:hAnsi="Aptos"/>
                <w:b/>
                <w:color w:val="FFFFFF"/>
                <w:sz w:val="14"/>
              </w:rPr>
              <w:t>Składnik modelu</w:t>
            </w:r>
          </w:p>
        </w:tc>
        <w:tc>
          <w:tcPr>
            <w:tcW w:w="2154"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20162A7F" w14:textId="77777777" w:rsidR="00537CA0" w:rsidRPr="00BA4F7F" w:rsidRDefault="00000000">
            <w:pPr>
              <w:spacing w:after="0"/>
              <w:jc w:val="center"/>
            </w:pPr>
            <w:r w:rsidRPr="00BA4F7F">
              <w:rPr>
                <w:rFonts w:ascii="Aptos" w:hAnsi="Aptos"/>
                <w:b/>
                <w:color w:val="FFFFFF"/>
                <w:sz w:val="14"/>
              </w:rPr>
              <w:t>Wartość / ocena 2025</w:t>
            </w:r>
          </w:p>
        </w:tc>
        <w:tc>
          <w:tcPr>
            <w:tcW w:w="153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0D6906C2" w14:textId="77777777" w:rsidR="00537CA0" w:rsidRPr="00BA4F7F" w:rsidRDefault="00000000">
            <w:pPr>
              <w:spacing w:after="0"/>
              <w:jc w:val="center"/>
            </w:pPr>
            <w:r w:rsidRPr="00BA4F7F">
              <w:rPr>
                <w:rFonts w:ascii="Aptos" w:hAnsi="Aptos"/>
                <w:b/>
                <w:color w:val="FFFFFF"/>
                <w:sz w:val="14"/>
              </w:rPr>
              <w:t>Punkty IRS</w:t>
            </w:r>
          </w:p>
        </w:tc>
        <w:tc>
          <w:tcPr>
            <w:tcW w:w="136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1134F1EF" w14:textId="77777777" w:rsidR="00537CA0" w:rsidRPr="00BA4F7F" w:rsidRDefault="00000000">
            <w:pPr>
              <w:spacing w:after="0"/>
              <w:jc w:val="center"/>
            </w:pPr>
            <w:r w:rsidRPr="00BA4F7F">
              <w:rPr>
                <w:rFonts w:ascii="Aptos" w:hAnsi="Aptos"/>
                <w:b/>
                <w:color w:val="FFFFFF"/>
                <w:sz w:val="14"/>
              </w:rPr>
              <w:t>Waga</w:t>
            </w:r>
          </w:p>
        </w:tc>
      </w:tr>
      <w:tr w:rsidR="00537CA0" w:rsidRPr="00BA4F7F" w14:paraId="12C8D6E8"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6221068" w14:textId="77777777" w:rsidR="00537CA0" w:rsidRPr="00BA4F7F" w:rsidRDefault="00000000">
            <w:pPr>
              <w:spacing w:after="0" w:line="228" w:lineRule="auto"/>
              <w:jc w:val="left"/>
            </w:pPr>
            <w:r w:rsidRPr="00BA4F7F">
              <w:rPr>
                <w:rFonts w:ascii="Aptos" w:hAnsi="Aptos"/>
                <w:b/>
                <w:color w:val="222222"/>
                <w:sz w:val="14"/>
              </w:rPr>
              <w:t>Odchylenie od prognozy GUS</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3DC29E4" w14:textId="77777777" w:rsidR="00537CA0" w:rsidRPr="00BA4F7F" w:rsidRDefault="00000000">
            <w:pPr>
              <w:spacing w:after="0" w:line="228" w:lineRule="auto"/>
              <w:jc w:val="center"/>
            </w:pPr>
            <w:r w:rsidRPr="00BA4F7F">
              <w:rPr>
                <w:rFonts w:ascii="Aptos" w:hAnsi="Aptos"/>
                <w:color w:val="222222"/>
                <w:sz w:val="14"/>
              </w:rPr>
              <w:t>−0,21%</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203FEDF1" w14:textId="77777777" w:rsidR="00537CA0" w:rsidRPr="00BA4F7F" w:rsidRDefault="00000000">
            <w:pPr>
              <w:spacing w:after="0" w:line="228" w:lineRule="auto"/>
              <w:jc w:val="center"/>
            </w:pPr>
            <w:r w:rsidRPr="00BA4F7F">
              <w:rPr>
                <w:rFonts w:ascii="Aptos" w:hAnsi="Aptos"/>
                <w:color w:val="222222"/>
                <w:sz w:val="14"/>
              </w:rPr>
              <w:t>73,6</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4F97EF6C" w14:textId="77777777" w:rsidR="00537CA0" w:rsidRPr="00BA4F7F" w:rsidRDefault="00000000">
            <w:pPr>
              <w:spacing w:after="0" w:line="228" w:lineRule="auto"/>
              <w:jc w:val="center"/>
            </w:pPr>
            <w:r w:rsidRPr="00BA4F7F">
              <w:rPr>
                <w:rFonts w:ascii="Aptos" w:hAnsi="Aptos"/>
                <w:color w:val="222222"/>
                <w:sz w:val="14"/>
              </w:rPr>
              <w:t>25%</w:t>
            </w:r>
          </w:p>
        </w:tc>
      </w:tr>
      <w:tr w:rsidR="00537CA0" w:rsidRPr="00BA4F7F" w14:paraId="27479E0D"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3DE93F80" w14:textId="77777777" w:rsidR="00537CA0" w:rsidRPr="00BA4F7F" w:rsidRDefault="00000000">
            <w:pPr>
              <w:spacing w:after="0" w:line="228" w:lineRule="auto"/>
              <w:jc w:val="left"/>
            </w:pPr>
            <w:r w:rsidRPr="00BA4F7F">
              <w:rPr>
                <w:rFonts w:ascii="Aptos" w:hAnsi="Aptos"/>
                <w:b/>
                <w:color w:val="222222"/>
                <w:sz w:val="14"/>
              </w:rPr>
              <w:t>Przyrost naturalny</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3835D456" w14:textId="77777777" w:rsidR="00537CA0" w:rsidRPr="00BA4F7F" w:rsidRDefault="00000000">
            <w:pPr>
              <w:spacing w:after="0" w:line="228" w:lineRule="auto"/>
              <w:jc w:val="center"/>
            </w:pPr>
            <w:r w:rsidRPr="00BA4F7F">
              <w:rPr>
                <w:rFonts w:ascii="Aptos" w:hAnsi="Aptos"/>
                <w:color w:val="222222"/>
                <w:sz w:val="14"/>
              </w:rPr>
              <w:t>−4,5‰</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41FC1FC" w14:textId="77777777" w:rsidR="00537CA0" w:rsidRPr="00BA4F7F" w:rsidRDefault="00000000">
            <w:pPr>
              <w:spacing w:after="0" w:line="228" w:lineRule="auto"/>
              <w:jc w:val="center"/>
            </w:pPr>
            <w:r w:rsidRPr="00BA4F7F">
              <w:rPr>
                <w:rFonts w:ascii="Aptos" w:hAnsi="Aptos"/>
                <w:color w:val="222222"/>
                <w:sz w:val="14"/>
              </w:rPr>
              <w:t>22,5</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516192C0" w14:textId="77777777" w:rsidR="00537CA0" w:rsidRPr="00BA4F7F" w:rsidRDefault="00000000">
            <w:pPr>
              <w:spacing w:after="0" w:line="228" w:lineRule="auto"/>
              <w:jc w:val="center"/>
            </w:pPr>
            <w:r w:rsidRPr="00BA4F7F">
              <w:rPr>
                <w:rFonts w:ascii="Aptos" w:hAnsi="Aptos"/>
                <w:color w:val="222222"/>
                <w:sz w:val="14"/>
              </w:rPr>
              <w:t>25%</w:t>
            </w:r>
          </w:p>
        </w:tc>
      </w:tr>
      <w:tr w:rsidR="00537CA0" w:rsidRPr="00BA4F7F" w14:paraId="6B146691"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01872B73" w14:textId="77777777" w:rsidR="00537CA0" w:rsidRPr="00BA4F7F" w:rsidRDefault="00000000">
            <w:pPr>
              <w:spacing w:after="0" w:line="228" w:lineRule="auto"/>
              <w:jc w:val="left"/>
            </w:pPr>
            <w:r w:rsidRPr="00BA4F7F">
              <w:rPr>
                <w:rFonts w:ascii="Aptos" w:hAnsi="Aptos"/>
                <w:b/>
                <w:color w:val="222222"/>
                <w:sz w:val="14"/>
              </w:rPr>
              <w:t>Udział wieku produkcyjnego</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99A7C45" w14:textId="77777777" w:rsidR="00537CA0" w:rsidRPr="00BA4F7F" w:rsidRDefault="00000000">
            <w:pPr>
              <w:spacing w:after="0" w:line="228" w:lineRule="auto"/>
              <w:jc w:val="center"/>
            </w:pPr>
            <w:r w:rsidRPr="00BA4F7F">
              <w:rPr>
                <w:rFonts w:ascii="Aptos" w:hAnsi="Aptos"/>
                <w:color w:val="222222"/>
                <w:sz w:val="14"/>
              </w:rPr>
              <w:t>58,1%</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69E4452" w14:textId="77777777" w:rsidR="00537CA0" w:rsidRPr="00BA4F7F" w:rsidRDefault="00000000">
            <w:pPr>
              <w:spacing w:after="0" w:line="228" w:lineRule="auto"/>
              <w:jc w:val="center"/>
            </w:pPr>
            <w:r w:rsidRPr="00BA4F7F">
              <w:rPr>
                <w:rFonts w:ascii="Aptos" w:hAnsi="Aptos"/>
                <w:color w:val="222222"/>
                <w:sz w:val="14"/>
              </w:rPr>
              <w:t>51,5</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0B0009D" w14:textId="77777777" w:rsidR="00537CA0" w:rsidRPr="00BA4F7F" w:rsidRDefault="00000000">
            <w:pPr>
              <w:spacing w:after="0" w:line="228" w:lineRule="auto"/>
              <w:jc w:val="center"/>
            </w:pPr>
            <w:r w:rsidRPr="00BA4F7F">
              <w:rPr>
                <w:rFonts w:ascii="Aptos" w:hAnsi="Aptos"/>
                <w:color w:val="222222"/>
                <w:sz w:val="14"/>
              </w:rPr>
              <w:t>30%</w:t>
            </w:r>
          </w:p>
        </w:tc>
      </w:tr>
      <w:tr w:rsidR="00537CA0" w:rsidRPr="00BA4F7F" w14:paraId="3392A1AD"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8AFB939" w14:textId="77777777" w:rsidR="00537CA0" w:rsidRPr="00BA4F7F" w:rsidRDefault="00000000">
            <w:pPr>
              <w:spacing w:after="0" w:line="228" w:lineRule="auto"/>
              <w:jc w:val="left"/>
            </w:pPr>
            <w:r w:rsidRPr="00BA4F7F">
              <w:rPr>
                <w:rFonts w:ascii="Aptos" w:hAnsi="Aptos"/>
                <w:b/>
                <w:color w:val="222222"/>
                <w:sz w:val="14"/>
              </w:rPr>
              <w:t>Obciążenie poprodukcyjne</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58616C97" w14:textId="77777777" w:rsidR="00537CA0" w:rsidRPr="00BA4F7F" w:rsidRDefault="00000000">
            <w:pPr>
              <w:spacing w:after="0" w:line="228" w:lineRule="auto"/>
              <w:jc w:val="center"/>
            </w:pPr>
            <w:r w:rsidRPr="00BA4F7F">
              <w:rPr>
                <w:rFonts w:ascii="Aptos" w:hAnsi="Aptos"/>
                <w:color w:val="222222"/>
                <w:sz w:val="14"/>
              </w:rPr>
              <w:t>41 / 100</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2C8FAF21" w14:textId="77777777" w:rsidR="00537CA0" w:rsidRPr="00BA4F7F" w:rsidRDefault="00000000">
            <w:pPr>
              <w:spacing w:after="0" w:line="228" w:lineRule="auto"/>
              <w:jc w:val="center"/>
            </w:pPr>
            <w:r w:rsidRPr="00BA4F7F">
              <w:rPr>
                <w:rFonts w:ascii="Aptos" w:hAnsi="Aptos"/>
                <w:color w:val="222222"/>
                <w:sz w:val="14"/>
              </w:rPr>
              <w:t>30,0</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1F3E4966" w14:textId="77777777" w:rsidR="00537CA0" w:rsidRPr="00BA4F7F" w:rsidRDefault="00000000">
            <w:pPr>
              <w:spacing w:after="0" w:line="228" w:lineRule="auto"/>
              <w:jc w:val="center"/>
            </w:pPr>
            <w:r w:rsidRPr="00BA4F7F">
              <w:rPr>
                <w:rFonts w:ascii="Aptos" w:hAnsi="Aptos"/>
                <w:color w:val="222222"/>
                <w:sz w:val="14"/>
              </w:rPr>
              <w:t>20%</w:t>
            </w:r>
          </w:p>
        </w:tc>
      </w:tr>
    </w:tbl>
    <w:p w14:paraId="1B51389A" w14:textId="77777777" w:rsidR="00537CA0" w:rsidRPr="00BA4F7F" w:rsidRDefault="00537CA0">
      <w:pPr>
        <w:spacing w:after="20"/>
      </w:pPr>
    </w:p>
    <w:p w14:paraId="15F51BC1" w14:textId="77777777" w:rsidR="00537CA0" w:rsidRPr="00BA4F7F" w:rsidRDefault="00000000">
      <w:pPr>
        <w:keepLines/>
        <w:spacing w:after="30" w:line="240" w:lineRule="auto"/>
      </w:pPr>
      <w:r w:rsidRPr="00BA4F7F">
        <w:rPr>
          <w:b/>
          <w:color w:val="1F4E79"/>
          <w:sz w:val="16"/>
        </w:rPr>
        <w:t xml:space="preserve">Funkcja w IRS i sposób liczenia. </w:t>
      </w:r>
      <w:proofErr w:type="spellStart"/>
      <w:r w:rsidRPr="00BA4F7F">
        <w:rPr>
          <w:color w:val="222222"/>
          <w:sz w:val="16"/>
        </w:rPr>
        <w:t>Subobszar</w:t>
      </w:r>
      <w:proofErr w:type="spellEnd"/>
      <w:r w:rsidRPr="00BA4F7F">
        <w:rPr>
          <w:color w:val="222222"/>
          <w:sz w:val="16"/>
        </w:rPr>
        <w:t xml:space="preserve"> mierzy zasób ludności i strukturę wieku jako podstawę rynku pracy, finansów publicznych, usług, obronności i ciągłości wspólnoty. Wskaźniki obejmują liczbę ludności, przyrost naturalny, udział wieku produkcyjnego, obciążenie osobami w wieku poprodukcyjnym oraz relację do prognozy GUS. Funkcje są rosnące lub malejące zgodnie z wpływem na zdolności państwa; zgodność z depopulacyjną prognozą nie daje maksimum punktów.</w:t>
      </w:r>
    </w:p>
    <w:p w14:paraId="77366A3D" w14:textId="77777777" w:rsidR="00537CA0" w:rsidRPr="00BA4F7F" w:rsidRDefault="00000000">
      <w:pPr>
        <w:keepLines/>
        <w:spacing w:after="30" w:line="240" w:lineRule="auto"/>
      </w:pPr>
      <w:r w:rsidRPr="00BA4F7F">
        <w:rPr>
          <w:b/>
          <w:color w:val="1F4E79"/>
          <w:sz w:val="16"/>
        </w:rPr>
        <w:t xml:space="preserve">Diagnoza i kontekst 2020–2025. </w:t>
      </w:r>
      <w:r w:rsidRPr="00BA4F7F">
        <w:rPr>
          <w:color w:val="222222"/>
          <w:sz w:val="16"/>
        </w:rPr>
        <w:t>Wynik obniża się z 61,3 pkt w 2020 r. do 53,0 pkt w 2021 r., 54,4 pkt w 2022 r., 52,5 pkt w 2023 r., 47,8 pkt w 2024 r. i 44,5 pkt w 2025 r. Ludność wynosi 37,333 mln, przyrost naturalny −4,5‰, udział osób w wieku produkcyjnym 58,1%, a na 100 osób w tym wieku przypadają 42 osoby w wieku poprodukcyjnym. Pandemia przyspieszyła ubytek poprzez wzrost zgonów, ale późniejsza kontynuacja spadku pokazuje charakter strukturalny. Coraz mniejsze roczniki wpływają na sieć szkół, rynek pracy, system zdrowia, samorządy i zdolność obsady służb.</w:t>
      </w:r>
    </w:p>
    <w:p w14:paraId="7D96B006" w14:textId="77777777" w:rsidR="00537CA0" w:rsidRPr="00BA4F7F" w:rsidRDefault="00000000">
      <w:pPr>
        <w:keepLines/>
        <w:spacing w:after="30" w:line="240" w:lineRule="auto"/>
      </w:pPr>
      <w:r w:rsidRPr="00BA4F7F">
        <w:rPr>
          <w:b/>
          <w:color w:val="1F4E79"/>
          <w:sz w:val="16"/>
        </w:rPr>
        <w:t xml:space="preserve">Znaczenie dla racji stanu. </w:t>
      </w:r>
      <w:r w:rsidRPr="00BA4F7F">
        <w:rPr>
          <w:color w:val="222222"/>
          <w:sz w:val="16"/>
        </w:rPr>
        <w:t>Depopulacja zmienia koszt jednostkowy państwa. Drogi, sieci, szpitale, administracja i bezpieczeństwo mają duży komponent kosztów stałych, które muszą być finansowane przez mniejszą liczbę pracujących i mieszkańców. Proces jest przestrzennie nierówny: część metropolii może rosnąć, podczas gdy peryferia tracą ludzi i dostępność usług.</w:t>
      </w:r>
    </w:p>
    <w:p w14:paraId="18EBDEC7" w14:textId="77777777" w:rsidR="00537CA0" w:rsidRPr="00BA4F7F" w:rsidRDefault="00000000">
      <w:pPr>
        <w:keepLines/>
        <w:spacing w:after="80" w:line="250" w:lineRule="auto"/>
      </w:pPr>
      <w:r w:rsidRPr="00BA4F7F">
        <w:rPr>
          <w:color w:val="222222"/>
          <w:sz w:val="18"/>
        </w:rPr>
        <w:t>Wniosek. Zgodność z oficjalną prognozą nie oznacza sukcesu, ponieważ sama prognoza zakłada kurczenie się populacji. Państwo może więc „realizować scenariusz bazowy”, a równocześnie tracić zdolności. Największe ryzyko nie polega na samym spadku liczby mieszkańców, lecz na niedostosowaniu sieci usług, infrastruktury i finansów do nowej geografii ludności.</w:t>
      </w:r>
    </w:p>
    <w:tbl>
      <w:tblPr>
        <w:tblW w:w="0" w:type="auto"/>
        <w:jc w:val="center"/>
        <w:tblLayout w:type="fixed"/>
        <w:tblLook w:val="04A0" w:firstRow="1" w:lastRow="0" w:firstColumn="1" w:lastColumn="0" w:noHBand="0" w:noVBand="1"/>
      </w:tblPr>
      <w:tblGrid>
        <w:gridCol w:w="1474"/>
        <w:gridCol w:w="7540"/>
      </w:tblGrid>
      <w:tr w:rsidR="00537CA0" w:rsidRPr="00BA4F7F" w14:paraId="3CB47C1D"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B23A48"/>
            <w:tcMar>
              <w:top w:w="45" w:type="dxa"/>
              <w:left w:w="70" w:type="dxa"/>
              <w:bottom w:w="45" w:type="dxa"/>
              <w:right w:w="70" w:type="dxa"/>
            </w:tcMar>
            <w:vAlign w:val="center"/>
          </w:tcPr>
          <w:p w14:paraId="2BCE30DE" w14:textId="77777777" w:rsidR="003357E9" w:rsidRPr="00BA4F7F" w:rsidRDefault="00000000">
            <w:r w:rsidRPr="00BA4F7F">
              <w:rPr>
                <w:b/>
              </w:rPr>
              <w:t>KONTEKST RYZYKA</w:t>
            </w:r>
          </w:p>
        </w:tc>
        <w:tc>
          <w:tcPr>
            <w:tcW w:w="7540" w:type="dxa"/>
            <w:tcBorders>
              <w:top w:val="single" w:sz="5" w:space="0" w:color="1F4E79"/>
              <w:left w:val="single" w:sz="5" w:space="0" w:color="1F4E79"/>
              <w:bottom w:val="single" w:sz="5" w:space="0" w:color="1F4E79"/>
              <w:right w:val="single" w:sz="5" w:space="0" w:color="1F4E79"/>
            </w:tcBorders>
            <w:shd w:val="clear" w:color="auto" w:fill="FCE8EA"/>
            <w:tcMar>
              <w:top w:w="45" w:type="dxa"/>
              <w:left w:w="70" w:type="dxa"/>
              <w:bottom w:w="45" w:type="dxa"/>
              <w:right w:w="70" w:type="dxa"/>
            </w:tcMar>
            <w:vAlign w:val="center"/>
          </w:tcPr>
          <w:p w14:paraId="20356D72" w14:textId="77777777" w:rsidR="003357E9" w:rsidRPr="00BA4F7F" w:rsidRDefault="00000000">
            <w:proofErr w:type="spellStart"/>
            <w:r w:rsidRPr="00BA4F7F">
              <w:t>Subobszar</w:t>
            </w:r>
            <w:proofErr w:type="spellEnd"/>
            <w:r w:rsidRPr="00BA4F7F">
              <w:t xml:space="preserve"> nie spełnia samodzielnie progu formalnego alertu ani sygnału trwałej słabości. Jest jednak jednym z mechanizmów osłabienia </w:t>
            </w:r>
            <w:proofErr w:type="spellStart"/>
            <w:r w:rsidRPr="00BA4F7F">
              <w:t>subindeksu</w:t>
            </w:r>
            <w:proofErr w:type="spellEnd"/>
            <w:r w:rsidRPr="00BA4F7F">
              <w:t xml:space="preserve"> Demografia, który w 2025 r. pozostaje w strefie wysokiego ryzyka i pogorszenia strukturalnego.</w:t>
            </w:r>
          </w:p>
        </w:tc>
      </w:tr>
      <w:tr w:rsidR="00537CA0" w:rsidRPr="00BA4F7F" w14:paraId="536EEC18"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730A4C3C"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6D1B829E" w14:textId="77777777" w:rsidR="00537CA0" w:rsidRPr="00BA4F7F" w:rsidRDefault="00000000">
            <w:pPr>
              <w:spacing w:after="0" w:line="240" w:lineRule="auto"/>
              <w:jc w:val="left"/>
            </w:pPr>
            <w:r w:rsidRPr="00BA4F7F">
              <w:rPr>
                <w:color w:val="222222"/>
                <w:sz w:val="15"/>
              </w:rPr>
              <w:t>Wieloletnie planowanie demograficzne łączące politykę rodzinną, migrację, rynek pracy i przestrzenne dostosowanie sieci usług do kurczących się oraz starzejących społeczności.</w:t>
            </w:r>
          </w:p>
        </w:tc>
      </w:tr>
      <w:tr w:rsidR="00537CA0" w:rsidRPr="00BA4F7F" w14:paraId="6C5F47AA"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616448EE"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5F4EC819" w14:textId="77777777" w:rsidR="00537CA0" w:rsidRPr="00BA4F7F" w:rsidRDefault="00000000">
            <w:pPr>
              <w:spacing w:after="0" w:line="240" w:lineRule="auto"/>
              <w:jc w:val="left"/>
            </w:pPr>
            <w:r w:rsidRPr="00BA4F7F">
              <w:rPr>
                <w:color w:val="222222"/>
                <w:sz w:val="15"/>
              </w:rPr>
              <w:t>Trwałe spowolnienie ubytku, stabilizacja udziału wieku produkcyjnego, lepszy bilans migracyjny oraz dostosowanie dostępności usług bez gwałtownego wzrostu kosztu na mieszkańca.</w:t>
            </w:r>
          </w:p>
        </w:tc>
      </w:tr>
    </w:tbl>
    <w:p w14:paraId="1E4D23C5" w14:textId="77777777" w:rsidR="00537CA0" w:rsidRPr="00BA4F7F" w:rsidRDefault="00000000">
      <w:pPr>
        <w:spacing w:after="0"/>
      </w:pPr>
      <w:r w:rsidRPr="00BA4F7F">
        <w:br w:type="page"/>
      </w:r>
    </w:p>
    <w:p w14:paraId="1061FC55" w14:textId="77777777" w:rsidR="00537CA0" w:rsidRPr="00BA4F7F" w:rsidRDefault="00000000">
      <w:pPr>
        <w:pStyle w:val="Nagwek2"/>
        <w:spacing w:before="0" w:after="60"/>
      </w:pPr>
      <w:r w:rsidRPr="00BA4F7F">
        <w:rPr>
          <w:rFonts w:ascii="Aptos Display" w:hAnsi="Aptos Display"/>
          <w:sz w:val="30"/>
        </w:rPr>
        <w:lastRenderedPageBreak/>
        <w:t>14A.9. Dzietność</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484C1FD8"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1A1A1276" w14:textId="77777777" w:rsidR="00537CA0" w:rsidRPr="00BA4F7F" w:rsidRDefault="00000000">
            <w:pPr>
              <w:spacing w:after="0" w:line="240" w:lineRule="auto"/>
              <w:jc w:val="left"/>
            </w:pPr>
            <w:r w:rsidRPr="00BA4F7F">
              <w:rPr>
                <w:rFonts w:ascii="Aptos" w:hAnsi="Aptos"/>
                <w:b/>
                <w:color w:val="FFFFFF"/>
                <w:sz w:val="14"/>
              </w:rPr>
              <w:t>WYNIK 2025</w:t>
            </w:r>
            <w:r w:rsidRPr="00BA4F7F">
              <w:rPr>
                <w:rFonts w:ascii="Aptos" w:hAnsi="Aptos"/>
                <w:b/>
                <w:color w:val="FFFFFF"/>
                <w:sz w:val="14"/>
              </w:rPr>
              <w:br/>
            </w:r>
            <w:r w:rsidRPr="00BA4F7F">
              <w:rPr>
                <w:rFonts w:ascii="Aptos" w:hAnsi="Aptos"/>
                <w:b/>
                <w:color w:val="FFFFFF"/>
                <w:sz w:val="34"/>
              </w:rPr>
              <w:t>6,0</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7542FA94" w14:textId="77777777" w:rsidR="00537CA0" w:rsidRPr="00BA4F7F" w:rsidRDefault="00000000">
            <w:pPr>
              <w:spacing w:after="0" w:line="240" w:lineRule="auto"/>
              <w:jc w:val="left"/>
            </w:pPr>
            <w:r w:rsidRPr="00BA4F7F">
              <w:rPr>
                <w:rFonts w:ascii="Aptos" w:hAnsi="Aptos"/>
                <w:b/>
                <w:color w:val="FFFFFF"/>
                <w:sz w:val="14"/>
              </w:rPr>
              <w:t>ZMIANA 2020–2025</w:t>
            </w:r>
            <w:r w:rsidRPr="00BA4F7F">
              <w:rPr>
                <w:rFonts w:ascii="Aptos" w:hAnsi="Aptos"/>
                <w:b/>
                <w:color w:val="FFFFFF"/>
                <w:sz w:val="14"/>
              </w:rPr>
              <w:br/>
            </w:r>
            <w:r w:rsidRPr="00BA4F7F">
              <w:rPr>
                <w:rFonts w:ascii="Aptos" w:hAnsi="Aptos"/>
                <w:b/>
                <w:color w:val="FFFFFF"/>
                <w:sz w:val="34"/>
              </w:rPr>
              <w:t>−40,2</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2593E512"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ryzyko krytyczne</w:t>
            </w:r>
          </w:p>
          <w:p w14:paraId="35C7AD32" w14:textId="77777777" w:rsidR="003357E9" w:rsidRPr="00BA4F7F" w:rsidRDefault="00000000">
            <w:pPr>
              <w:spacing w:before="60" w:after="0"/>
            </w:pPr>
            <w:r w:rsidRPr="00BA4F7F">
              <w:rPr>
                <w:b/>
                <w:color w:val="666666"/>
                <w:sz w:val="14"/>
              </w:rPr>
              <w:t>STATUS OSTRZEGAWCZY 2025</w:t>
            </w:r>
            <w:r w:rsidRPr="00BA4F7F">
              <w:rPr>
                <w:b/>
                <w:color w:val="666666"/>
                <w:sz w:val="14"/>
              </w:rPr>
              <w:br/>
            </w:r>
            <w:r w:rsidRPr="00BA4F7F">
              <w:rPr>
                <w:b/>
                <w:color w:val="A61E2E"/>
                <w:sz w:val="16"/>
              </w:rPr>
              <w:t>KRYTYCZNY • POGORSZENIE STRUKTURALNE</w:t>
            </w:r>
            <w:r w:rsidRPr="00BA4F7F">
              <w:rPr>
                <w:b/>
                <w:color w:val="A61E2E"/>
                <w:sz w:val="16"/>
              </w:rPr>
              <w:br/>
              <w:t>SYGNAŁ TRWAŁEJ SŁABOŚCI</w:t>
            </w:r>
          </w:p>
        </w:tc>
      </w:tr>
    </w:tbl>
    <w:p w14:paraId="2B6E82A7" w14:textId="77777777" w:rsidR="00537CA0" w:rsidRPr="00BA4F7F" w:rsidRDefault="00000000">
      <w:pPr>
        <w:keepLines/>
        <w:spacing w:before="20" w:after="30"/>
        <w:jc w:val="center"/>
      </w:pPr>
      <w:r w:rsidRPr="00BA4F7F">
        <w:rPr>
          <w:noProof/>
        </w:rPr>
        <w:drawing>
          <wp:inline distT="0" distB="0" distL="0" distR="0" wp14:anchorId="72D45A1B" wp14:editId="5791AFC6">
            <wp:extent cx="5688000" cy="1119183"/>
            <wp:effectExtent l="0" t="0" r="0" b="0"/>
            <wp:docPr id="1690576329" name="Picture 169057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9.png"/>
                    <pic:cNvPicPr/>
                  </pic:nvPicPr>
                  <pic:blipFill>
                    <a:blip r:embed="rId33"/>
                    <a:stretch>
                      <a:fillRect/>
                    </a:stretch>
                  </pic:blipFill>
                  <pic:spPr>
                    <a:xfrm>
                      <a:off x="0" y="0"/>
                      <a:ext cx="5688000" cy="1119183"/>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3969"/>
        <w:gridCol w:w="2154"/>
        <w:gridCol w:w="1531"/>
        <w:gridCol w:w="1361"/>
      </w:tblGrid>
      <w:tr w:rsidR="00537CA0" w:rsidRPr="00BA4F7F" w14:paraId="4B09BDF9" w14:textId="77777777">
        <w:trPr>
          <w:cantSplit/>
          <w:tblHeader/>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49970AB2" w14:textId="77777777" w:rsidR="00537CA0" w:rsidRPr="00BA4F7F" w:rsidRDefault="00000000">
            <w:pPr>
              <w:spacing w:after="0"/>
              <w:jc w:val="center"/>
            </w:pPr>
            <w:r w:rsidRPr="00BA4F7F">
              <w:rPr>
                <w:rFonts w:ascii="Aptos" w:hAnsi="Aptos"/>
                <w:b/>
                <w:color w:val="FFFFFF"/>
                <w:sz w:val="14"/>
              </w:rPr>
              <w:t>Składnik modelu</w:t>
            </w:r>
          </w:p>
        </w:tc>
        <w:tc>
          <w:tcPr>
            <w:tcW w:w="2154"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42823A30" w14:textId="77777777" w:rsidR="00537CA0" w:rsidRPr="00BA4F7F" w:rsidRDefault="00000000">
            <w:pPr>
              <w:spacing w:after="0"/>
              <w:jc w:val="center"/>
            </w:pPr>
            <w:r w:rsidRPr="00BA4F7F">
              <w:rPr>
                <w:rFonts w:ascii="Aptos" w:hAnsi="Aptos"/>
                <w:b/>
                <w:color w:val="FFFFFF"/>
                <w:sz w:val="14"/>
              </w:rPr>
              <w:t>Wartość / ocena 2025</w:t>
            </w:r>
          </w:p>
        </w:tc>
        <w:tc>
          <w:tcPr>
            <w:tcW w:w="153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18FF1004" w14:textId="77777777" w:rsidR="00537CA0" w:rsidRPr="00BA4F7F" w:rsidRDefault="00000000">
            <w:pPr>
              <w:spacing w:after="0"/>
              <w:jc w:val="center"/>
            </w:pPr>
            <w:r w:rsidRPr="00BA4F7F">
              <w:rPr>
                <w:rFonts w:ascii="Aptos" w:hAnsi="Aptos"/>
                <w:b/>
                <w:color w:val="FFFFFF"/>
                <w:sz w:val="14"/>
              </w:rPr>
              <w:t>Punkty IRS</w:t>
            </w:r>
          </w:p>
        </w:tc>
        <w:tc>
          <w:tcPr>
            <w:tcW w:w="136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0C16355C" w14:textId="77777777" w:rsidR="00537CA0" w:rsidRPr="00BA4F7F" w:rsidRDefault="00000000">
            <w:pPr>
              <w:spacing w:after="0"/>
              <w:jc w:val="center"/>
            </w:pPr>
            <w:r w:rsidRPr="00BA4F7F">
              <w:rPr>
                <w:rFonts w:ascii="Aptos" w:hAnsi="Aptos"/>
                <w:b/>
                <w:color w:val="FFFFFF"/>
                <w:sz w:val="14"/>
              </w:rPr>
              <w:t>Waga</w:t>
            </w:r>
          </w:p>
        </w:tc>
      </w:tr>
      <w:tr w:rsidR="00537CA0" w:rsidRPr="00BA4F7F" w14:paraId="3D8FEDD7"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4FC9D219" w14:textId="77777777" w:rsidR="00537CA0" w:rsidRPr="00BA4F7F" w:rsidRDefault="00000000">
            <w:pPr>
              <w:spacing w:after="0" w:line="228" w:lineRule="auto"/>
              <w:jc w:val="left"/>
            </w:pPr>
            <w:r w:rsidRPr="00BA4F7F">
              <w:rPr>
                <w:rFonts w:ascii="Aptos" w:hAnsi="Aptos"/>
                <w:b/>
                <w:color w:val="222222"/>
                <w:sz w:val="14"/>
              </w:rPr>
              <w:t>Współczynnik dzietności</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0C8DDE5B" w14:textId="77777777" w:rsidR="00537CA0" w:rsidRPr="00BA4F7F" w:rsidRDefault="00000000">
            <w:pPr>
              <w:spacing w:after="0" w:line="228" w:lineRule="auto"/>
              <w:jc w:val="center"/>
            </w:pPr>
            <w:r w:rsidRPr="00BA4F7F">
              <w:rPr>
                <w:rFonts w:ascii="Aptos" w:hAnsi="Aptos"/>
                <w:color w:val="222222"/>
                <w:sz w:val="14"/>
              </w:rPr>
              <w:t>1,06</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997F14C" w14:textId="77777777" w:rsidR="00537CA0" w:rsidRPr="00BA4F7F" w:rsidRDefault="00000000">
            <w:pPr>
              <w:spacing w:after="0" w:line="228" w:lineRule="auto"/>
              <w:jc w:val="center"/>
            </w:pPr>
            <w:r w:rsidRPr="00BA4F7F">
              <w:rPr>
                <w:rFonts w:ascii="Aptos" w:hAnsi="Aptos"/>
                <w:color w:val="222222"/>
                <w:sz w:val="14"/>
              </w:rPr>
              <w:t>6,0</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510B8D8" w14:textId="77777777" w:rsidR="00537CA0" w:rsidRPr="00BA4F7F" w:rsidRDefault="00000000">
            <w:pPr>
              <w:spacing w:after="0" w:line="228" w:lineRule="auto"/>
              <w:jc w:val="center"/>
            </w:pPr>
            <w:r w:rsidRPr="00BA4F7F">
              <w:rPr>
                <w:rFonts w:ascii="Aptos" w:hAnsi="Aptos"/>
                <w:color w:val="222222"/>
                <w:sz w:val="14"/>
              </w:rPr>
              <w:t>100%</w:t>
            </w:r>
          </w:p>
        </w:tc>
      </w:tr>
      <w:tr w:rsidR="00537CA0" w:rsidRPr="00BA4F7F" w14:paraId="34A6D92E"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55A433DC" w14:textId="77777777" w:rsidR="00537CA0" w:rsidRPr="00BA4F7F" w:rsidRDefault="00000000">
            <w:pPr>
              <w:spacing w:after="0" w:line="228" w:lineRule="auto"/>
              <w:jc w:val="left"/>
            </w:pPr>
            <w:r w:rsidRPr="00BA4F7F">
              <w:rPr>
                <w:rFonts w:ascii="Aptos" w:hAnsi="Aptos"/>
                <w:b/>
                <w:color w:val="222222"/>
                <w:sz w:val="14"/>
              </w:rPr>
              <w:t>Urodzenia żywe</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17666833" w14:textId="77777777" w:rsidR="00537CA0" w:rsidRPr="00BA4F7F" w:rsidRDefault="00000000">
            <w:pPr>
              <w:spacing w:after="0" w:line="228" w:lineRule="auto"/>
              <w:jc w:val="center"/>
            </w:pPr>
            <w:r w:rsidRPr="00BA4F7F">
              <w:rPr>
                <w:rFonts w:ascii="Aptos" w:hAnsi="Aptos"/>
                <w:color w:val="222222"/>
                <w:sz w:val="14"/>
              </w:rPr>
              <w:t>ok. 238 tys.</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4EB827DF" w14:textId="77777777" w:rsidR="00537CA0" w:rsidRPr="00BA4F7F" w:rsidRDefault="00000000">
            <w:pPr>
              <w:spacing w:after="0" w:line="228" w:lineRule="auto"/>
              <w:jc w:val="center"/>
            </w:pPr>
            <w:r w:rsidRPr="00BA4F7F">
              <w:rPr>
                <w:rFonts w:ascii="Aptos" w:hAnsi="Aptos"/>
                <w:color w:val="222222"/>
                <w:sz w:val="14"/>
              </w:rPr>
              <w:t>dana pomocnicza</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9DE6A76" w14:textId="77777777" w:rsidR="00537CA0" w:rsidRPr="00BA4F7F" w:rsidRDefault="00000000">
            <w:pPr>
              <w:spacing w:after="0" w:line="228" w:lineRule="auto"/>
              <w:jc w:val="center"/>
            </w:pPr>
            <w:r w:rsidRPr="00BA4F7F">
              <w:rPr>
                <w:rFonts w:ascii="Aptos" w:hAnsi="Aptos"/>
                <w:color w:val="222222"/>
                <w:sz w:val="14"/>
              </w:rPr>
              <w:t>niepunktowane</w:t>
            </w:r>
          </w:p>
        </w:tc>
      </w:tr>
    </w:tbl>
    <w:p w14:paraId="7FE688E8" w14:textId="77777777" w:rsidR="00537CA0" w:rsidRPr="00BA4F7F" w:rsidRDefault="00537CA0">
      <w:pPr>
        <w:spacing w:after="20"/>
      </w:pPr>
    </w:p>
    <w:p w14:paraId="4A1F2C42" w14:textId="77777777" w:rsidR="00537CA0" w:rsidRPr="00BA4F7F" w:rsidRDefault="00000000">
      <w:pPr>
        <w:keepLines/>
        <w:spacing w:after="30" w:line="240" w:lineRule="auto"/>
      </w:pPr>
      <w:r w:rsidRPr="00BA4F7F">
        <w:rPr>
          <w:b/>
          <w:color w:val="1F4E79"/>
          <w:sz w:val="16"/>
        </w:rPr>
        <w:t xml:space="preserve">Funkcja w IRS i sposób liczenia. </w:t>
      </w:r>
      <w:r w:rsidRPr="00BA4F7F">
        <w:rPr>
          <w:color w:val="222222"/>
          <w:sz w:val="16"/>
        </w:rPr>
        <w:t>Dzietność mierzy podstawowy mechanizm odtwarzania pokoleń. Punktowany jest współczynnik dzietności, przeliczany funkcją rosnącą z progami strategicznymi; liczba urodzeń pozostaje daną pomocniczą, aby nie liczyć dwukrotnie tego samego procesu. Wynik nie ocenia deklaracji polityki rodzinnej, lecz rezultat demograficzny o największej bezwładności.</w:t>
      </w:r>
    </w:p>
    <w:p w14:paraId="28F1C31C" w14:textId="77777777" w:rsidR="00537CA0" w:rsidRPr="00BA4F7F" w:rsidRDefault="00000000">
      <w:pPr>
        <w:keepLines/>
        <w:spacing w:after="30" w:line="240" w:lineRule="auto"/>
      </w:pPr>
      <w:r w:rsidRPr="00BA4F7F">
        <w:rPr>
          <w:b/>
          <w:color w:val="1F4E79"/>
          <w:sz w:val="16"/>
        </w:rPr>
        <w:t xml:space="preserve">Diagnoza i kontekst 2020–2025. </w:t>
      </w:r>
      <w:r w:rsidRPr="00BA4F7F">
        <w:rPr>
          <w:color w:val="222222"/>
          <w:sz w:val="16"/>
        </w:rPr>
        <w:t>Punktacja spada bez przerwy: 46,3 pkt w 2020 r., 38,8 pkt w 2021 r., 30,0 pkt w 2022 r., 17,5 pkt w 2023 r., 9,0 pkt w 2024 r. i 6,0 pkt w 2025 r. Współczynnik dzietności wynosi 1,06, a liczba urodzeń około 238 tys. Pandemia, wzrost kosztów mieszkań i energii, niepewność geopolityczna, odkładanie stabilizacji życiowej, problemy zdrowia prokreacyjnego oraz zmiana wzorców tworzenia rodzin nakładają się na coraz mniejszą liczbę kobiet w wieku rozrodczym. IRS nie przesądza, który czynnik jest dominujący; pokazuje, że dotychczasowy zestaw instrumentów nie zatrzymał trendu.</w:t>
      </w:r>
    </w:p>
    <w:p w14:paraId="5DD6C88F" w14:textId="77777777" w:rsidR="00537CA0" w:rsidRPr="00BA4F7F" w:rsidRDefault="00000000">
      <w:pPr>
        <w:keepLines/>
        <w:spacing w:after="30" w:line="240" w:lineRule="auto"/>
      </w:pPr>
      <w:r w:rsidRPr="00BA4F7F">
        <w:rPr>
          <w:b/>
          <w:color w:val="1F4E79"/>
          <w:sz w:val="16"/>
        </w:rPr>
        <w:t xml:space="preserve">Znaczenie dla racji stanu. </w:t>
      </w:r>
      <w:r w:rsidRPr="00BA4F7F">
        <w:rPr>
          <w:color w:val="222222"/>
          <w:sz w:val="16"/>
        </w:rPr>
        <w:t>Skutek dzisiejszego spadku ujawnia się sekwencyjnie: najpierw w sieci porodowej i edukacji, potem w podaży pracy, bazie podatkowej, liczbie potencjalnych rodziców i zasobach dla systemu bezpieczeństwa. Jest to jedyny obszar, w którym utraconego rocznika nie można odtworzyć późniejszym wydatkiem – można jedynie poprawić trajektorię kolejnych roczników.</w:t>
      </w:r>
    </w:p>
    <w:p w14:paraId="13D9096B" w14:textId="77777777" w:rsidR="00537CA0" w:rsidRPr="00BA4F7F" w:rsidRDefault="00000000">
      <w:pPr>
        <w:keepLines/>
        <w:spacing w:after="80" w:line="250" w:lineRule="auto"/>
      </w:pPr>
      <w:r w:rsidRPr="00BA4F7F">
        <w:rPr>
          <w:color w:val="222222"/>
          <w:sz w:val="18"/>
        </w:rPr>
        <w:t>Wniosek. Nawet wyraźny wzrost dzietności w przyszłości nie musi od razu zwiększyć liczby urodzeń, ponieważ maleje liczba potencjalnych matek. Powstaje podwójna bezwładność: niski wskaźnik dziś zmniejsza zarówno przyszłą liczbę pracowników, jak i przyszłą bazę rodziców. Dlatego polityka oceniana dopiero po liczbie urodzeń reaguje zbyt późno.</w:t>
      </w:r>
    </w:p>
    <w:tbl>
      <w:tblPr>
        <w:tblW w:w="0" w:type="auto"/>
        <w:jc w:val="center"/>
        <w:tblLayout w:type="fixed"/>
        <w:tblLook w:val="04A0" w:firstRow="1" w:lastRow="0" w:firstColumn="1" w:lastColumn="0" w:noHBand="0" w:noVBand="1"/>
      </w:tblPr>
      <w:tblGrid>
        <w:gridCol w:w="1474"/>
        <w:gridCol w:w="7540"/>
      </w:tblGrid>
      <w:tr w:rsidR="00537CA0" w:rsidRPr="00BA4F7F" w14:paraId="3830DFE4"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B23A48"/>
            <w:tcMar>
              <w:top w:w="45" w:type="dxa"/>
              <w:left w:w="70" w:type="dxa"/>
              <w:bottom w:w="45" w:type="dxa"/>
              <w:right w:w="70" w:type="dxa"/>
            </w:tcMar>
            <w:vAlign w:val="center"/>
          </w:tcPr>
          <w:p w14:paraId="084AFDD4" w14:textId="77777777" w:rsidR="003357E9" w:rsidRPr="00BA4F7F" w:rsidRDefault="00000000">
            <w:r w:rsidRPr="00BA4F7F">
              <w:rPr>
                <w:b/>
              </w:rPr>
              <w:t>STATUS OSTRZEGAWCZY 2025</w:t>
            </w:r>
          </w:p>
        </w:tc>
        <w:tc>
          <w:tcPr>
            <w:tcW w:w="7540" w:type="dxa"/>
            <w:tcBorders>
              <w:top w:val="single" w:sz="5" w:space="0" w:color="1F4E79"/>
              <w:left w:val="single" w:sz="5" w:space="0" w:color="1F4E79"/>
              <w:bottom w:val="single" w:sz="5" w:space="0" w:color="1F4E79"/>
              <w:right w:val="single" w:sz="5" w:space="0" w:color="1F4E79"/>
            </w:tcBorders>
            <w:shd w:val="clear" w:color="auto" w:fill="FCE8EA"/>
            <w:tcMar>
              <w:top w:w="45" w:type="dxa"/>
              <w:left w:w="70" w:type="dxa"/>
              <w:bottom w:w="45" w:type="dxa"/>
              <w:right w:w="70" w:type="dxa"/>
            </w:tcMar>
            <w:vAlign w:val="center"/>
          </w:tcPr>
          <w:p w14:paraId="3FF86B15" w14:textId="77777777" w:rsidR="003357E9" w:rsidRPr="00BA4F7F" w:rsidRDefault="00000000">
            <w:r w:rsidRPr="00BA4F7F">
              <w:t xml:space="preserve">Alert krytyczny: wynik 6,0 pkt jest niższy niż 20 pkt. </w:t>
            </w:r>
            <w:proofErr w:type="spellStart"/>
            <w:r w:rsidRPr="00BA4F7F">
              <w:t>Subobszar</w:t>
            </w:r>
            <w:proofErr w:type="spellEnd"/>
            <w:r w:rsidRPr="00BA4F7F">
              <w:t xml:space="preserve"> spełnia również warunek pogorszenia strukturalnego: od 2022 do 2025 r. obniżył się o 24,0 pkt przy trzech rocznych spadkach. Trzy ostatnie wyniki pozostają poniżej 50 pkt, dlatego występuje także sygnał trwałej słabości.</w:t>
            </w:r>
          </w:p>
        </w:tc>
      </w:tr>
      <w:tr w:rsidR="00537CA0" w:rsidRPr="00BA4F7F" w14:paraId="588147CC"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460A10CF"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0B33AD05" w14:textId="77777777" w:rsidR="00537CA0" w:rsidRPr="00BA4F7F" w:rsidRDefault="00000000">
            <w:pPr>
              <w:spacing w:after="0" w:line="240" w:lineRule="auto"/>
              <w:jc w:val="left"/>
            </w:pPr>
            <w:r w:rsidRPr="00BA4F7F">
              <w:rPr>
                <w:color w:val="222222"/>
                <w:sz w:val="15"/>
              </w:rPr>
              <w:t>Zmniejszenie łącznego ryzyka zakładania i powiększania rodziny poprzez spójną politykę mieszkań, pracy, opieki, zdrowia prokreacyjnego i okołoporodowego oraz stabilności reguł i usług.</w:t>
            </w:r>
          </w:p>
        </w:tc>
      </w:tr>
      <w:tr w:rsidR="00537CA0" w:rsidRPr="00BA4F7F" w14:paraId="343C84FA"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72AC32AD"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53210152" w14:textId="77777777" w:rsidR="00537CA0" w:rsidRPr="00BA4F7F" w:rsidRDefault="00000000">
            <w:pPr>
              <w:spacing w:after="0" w:line="240" w:lineRule="auto"/>
              <w:jc w:val="left"/>
            </w:pPr>
            <w:r w:rsidRPr="00BA4F7F">
              <w:rPr>
                <w:color w:val="222222"/>
                <w:sz w:val="15"/>
              </w:rPr>
              <w:t>Najpierw trwała poprawa mierników barier i intencji rodzinnych, następnie zahamowanie spadku dzietności oraz wzrost liczby urodzeń skorygowany o liczbę kobiet w wieku rozrodczym.</w:t>
            </w:r>
          </w:p>
        </w:tc>
      </w:tr>
    </w:tbl>
    <w:p w14:paraId="10C62AAA" w14:textId="77777777" w:rsidR="00537CA0" w:rsidRPr="00BA4F7F" w:rsidRDefault="00000000">
      <w:pPr>
        <w:spacing w:after="0"/>
      </w:pPr>
      <w:r w:rsidRPr="00BA4F7F">
        <w:br w:type="page"/>
      </w:r>
    </w:p>
    <w:p w14:paraId="1D5F65F2" w14:textId="77777777" w:rsidR="00537CA0" w:rsidRPr="00BA4F7F" w:rsidRDefault="00000000">
      <w:pPr>
        <w:pStyle w:val="Nagwek2"/>
        <w:spacing w:before="0" w:after="60"/>
      </w:pPr>
      <w:r w:rsidRPr="00BA4F7F">
        <w:rPr>
          <w:rFonts w:ascii="Aptos Display" w:hAnsi="Aptos Display"/>
          <w:sz w:val="30"/>
        </w:rPr>
        <w:lastRenderedPageBreak/>
        <w:t>14A.10. Aktywność państwa wobec kryzysu demograficznego</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57EC010B"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6FD6B281" w14:textId="77777777" w:rsidR="00537CA0" w:rsidRPr="00BA4F7F" w:rsidRDefault="00000000">
            <w:pPr>
              <w:spacing w:after="0" w:line="240" w:lineRule="auto"/>
              <w:jc w:val="left"/>
            </w:pPr>
            <w:r w:rsidRPr="00BA4F7F">
              <w:rPr>
                <w:rFonts w:ascii="Aptos" w:hAnsi="Aptos"/>
                <w:b/>
                <w:color w:val="FFFFFF"/>
                <w:sz w:val="14"/>
              </w:rPr>
              <w:t>WYNIK 2025</w:t>
            </w:r>
            <w:r w:rsidRPr="00BA4F7F">
              <w:rPr>
                <w:rFonts w:ascii="Aptos" w:hAnsi="Aptos"/>
                <w:b/>
                <w:color w:val="FFFFFF"/>
                <w:sz w:val="14"/>
              </w:rPr>
              <w:br/>
            </w:r>
            <w:r w:rsidRPr="00BA4F7F">
              <w:rPr>
                <w:rFonts w:ascii="Aptos" w:hAnsi="Aptos"/>
                <w:b/>
                <w:color w:val="FFFFFF"/>
                <w:sz w:val="34"/>
              </w:rPr>
              <w:t>46,0</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1A8AE48B" w14:textId="77777777" w:rsidR="00537CA0" w:rsidRPr="00BA4F7F" w:rsidRDefault="00000000">
            <w:pPr>
              <w:spacing w:after="0" w:line="240" w:lineRule="auto"/>
              <w:jc w:val="left"/>
            </w:pPr>
            <w:r w:rsidRPr="00BA4F7F">
              <w:rPr>
                <w:rFonts w:ascii="Aptos" w:hAnsi="Aptos"/>
                <w:b/>
                <w:color w:val="FFFFFF"/>
                <w:sz w:val="14"/>
              </w:rPr>
              <w:t>ZMIANA 2020–2025</w:t>
            </w:r>
            <w:r w:rsidRPr="00BA4F7F">
              <w:rPr>
                <w:rFonts w:ascii="Aptos" w:hAnsi="Aptos"/>
                <w:b/>
                <w:color w:val="FFFFFF"/>
                <w:sz w:val="14"/>
              </w:rPr>
              <w:br/>
            </w:r>
            <w:r w:rsidRPr="00BA4F7F">
              <w:rPr>
                <w:rFonts w:ascii="Aptos" w:hAnsi="Aptos"/>
                <w:b/>
                <w:color w:val="FFFFFF"/>
                <w:sz w:val="34"/>
              </w:rPr>
              <w:t>−13,0</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5D6E6EB4"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słaba lub niepełna odporność</w:t>
            </w:r>
          </w:p>
          <w:p w14:paraId="7099D0CB" w14:textId="77777777" w:rsidR="003357E9" w:rsidRPr="00BA4F7F" w:rsidRDefault="00000000">
            <w:pPr>
              <w:spacing w:before="60" w:after="0"/>
            </w:pPr>
            <w:r w:rsidRPr="00BA4F7F">
              <w:rPr>
                <w:b/>
                <w:color w:val="666666"/>
                <w:sz w:val="14"/>
              </w:rPr>
              <w:t>STATUS OSTRZEGAWCZY 2025</w:t>
            </w:r>
            <w:r w:rsidRPr="00BA4F7F">
              <w:rPr>
                <w:b/>
                <w:color w:val="666666"/>
                <w:sz w:val="14"/>
              </w:rPr>
              <w:br/>
            </w:r>
            <w:r w:rsidRPr="00BA4F7F">
              <w:rPr>
                <w:b/>
                <w:color w:val="2F75B5"/>
                <w:sz w:val="16"/>
              </w:rPr>
              <w:t>POGORSZENIE STRUKTURALNE</w:t>
            </w:r>
          </w:p>
        </w:tc>
      </w:tr>
    </w:tbl>
    <w:p w14:paraId="13F0E23C" w14:textId="77777777" w:rsidR="00537CA0" w:rsidRPr="00BA4F7F" w:rsidRDefault="00000000">
      <w:pPr>
        <w:keepLines/>
        <w:spacing w:before="20" w:after="30"/>
        <w:jc w:val="center"/>
      </w:pPr>
      <w:r w:rsidRPr="00BA4F7F">
        <w:rPr>
          <w:noProof/>
        </w:rPr>
        <w:drawing>
          <wp:inline distT="0" distB="0" distL="0" distR="0" wp14:anchorId="0B112369" wp14:editId="2B883CE0">
            <wp:extent cx="5688000" cy="1119183"/>
            <wp:effectExtent l="0" t="0" r="0" b="0"/>
            <wp:docPr id="1690576330" name="Picture 1690576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10.png"/>
                    <pic:cNvPicPr/>
                  </pic:nvPicPr>
                  <pic:blipFill>
                    <a:blip r:embed="rId34"/>
                    <a:stretch>
                      <a:fillRect/>
                    </a:stretch>
                  </pic:blipFill>
                  <pic:spPr>
                    <a:xfrm>
                      <a:off x="0" y="0"/>
                      <a:ext cx="5688000" cy="1119183"/>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3969"/>
        <w:gridCol w:w="2154"/>
        <w:gridCol w:w="1531"/>
        <w:gridCol w:w="1361"/>
      </w:tblGrid>
      <w:tr w:rsidR="00537CA0" w:rsidRPr="00BA4F7F" w14:paraId="01BC6064" w14:textId="77777777">
        <w:trPr>
          <w:cantSplit/>
          <w:tblHeader/>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1B23C61B" w14:textId="77777777" w:rsidR="00537CA0" w:rsidRPr="00BA4F7F" w:rsidRDefault="00000000">
            <w:pPr>
              <w:spacing w:after="0"/>
              <w:jc w:val="center"/>
            </w:pPr>
            <w:r w:rsidRPr="00BA4F7F">
              <w:rPr>
                <w:rFonts w:ascii="Aptos" w:hAnsi="Aptos"/>
                <w:b/>
                <w:color w:val="FFFFFF"/>
                <w:sz w:val="14"/>
              </w:rPr>
              <w:t>Składnik modelu</w:t>
            </w:r>
          </w:p>
        </w:tc>
        <w:tc>
          <w:tcPr>
            <w:tcW w:w="2154"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4673B706" w14:textId="77777777" w:rsidR="00537CA0" w:rsidRPr="00BA4F7F" w:rsidRDefault="00000000">
            <w:pPr>
              <w:spacing w:after="0"/>
              <w:jc w:val="center"/>
            </w:pPr>
            <w:r w:rsidRPr="00BA4F7F">
              <w:rPr>
                <w:rFonts w:ascii="Aptos" w:hAnsi="Aptos"/>
                <w:b/>
                <w:color w:val="FFFFFF"/>
                <w:sz w:val="14"/>
              </w:rPr>
              <w:t>Wartość / ocena 2025</w:t>
            </w:r>
          </w:p>
        </w:tc>
        <w:tc>
          <w:tcPr>
            <w:tcW w:w="153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60414A61" w14:textId="77777777" w:rsidR="00537CA0" w:rsidRPr="00BA4F7F" w:rsidRDefault="00000000">
            <w:pPr>
              <w:spacing w:after="0"/>
              <w:jc w:val="center"/>
            </w:pPr>
            <w:r w:rsidRPr="00BA4F7F">
              <w:rPr>
                <w:rFonts w:ascii="Aptos" w:hAnsi="Aptos"/>
                <w:b/>
                <w:color w:val="FFFFFF"/>
                <w:sz w:val="14"/>
              </w:rPr>
              <w:t>Punkty IRS</w:t>
            </w:r>
          </w:p>
        </w:tc>
        <w:tc>
          <w:tcPr>
            <w:tcW w:w="136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43CF45FA" w14:textId="77777777" w:rsidR="00537CA0" w:rsidRPr="00BA4F7F" w:rsidRDefault="00000000">
            <w:pPr>
              <w:spacing w:after="0"/>
              <w:jc w:val="center"/>
            </w:pPr>
            <w:r w:rsidRPr="00BA4F7F">
              <w:rPr>
                <w:rFonts w:ascii="Aptos" w:hAnsi="Aptos"/>
                <w:b/>
                <w:color w:val="FFFFFF"/>
                <w:sz w:val="14"/>
              </w:rPr>
              <w:t>Waga</w:t>
            </w:r>
          </w:p>
        </w:tc>
      </w:tr>
      <w:tr w:rsidR="00537CA0" w:rsidRPr="00BA4F7F" w14:paraId="09FF057D"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2CA8444" w14:textId="77777777" w:rsidR="00537CA0" w:rsidRPr="00BA4F7F" w:rsidRDefault="00000000">
            <w:pPr>
              <w:spacing w:after="0" w:line="228" w:lineRule="auto"/>
              <w:jc w:val="left"/>
            </w:pPr>
            <w:r w:rsidRPr="00BA4F7F">
              <w:rPr>
                <w:rFonts w:ascii="Aptos" w:hAnsi="Aptos"/>
                <w:b/>
                <w:color w:val="222222"/>
                <w:sz w:val="14"/>
              </w:rPr>
              <w:t>Strategia i zarządzanie</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E40F76E" w14:textId="77777777" w:rsidR="00537CA0" w:rsidRPr="00BA4F7F" w:rsidRDefault="00000000">
            <w:pPr>
              <w:spacing w:after="0" w:line="228" w:lineRule="auto"/>
              <w:jc w:val="center"/>
            </w:pPr>
            <w:r w:rsidRPr="00BA4F7F">
              <w:rPr>
                <w:rFonts w:ascii="Aptos" w:hAnsi="Aptos"/>
                <w:color w:val="222222"/>
                <w:sz w:val="14"/>
              </w:rPr>
              <w:t>41 pkt</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D60EF75" w14:textId="77777777" w:rsidR="00537CA0" w:rsidRPr="00BA4F7F" w:rsidRDefault="00000000">
            <w:pPr>
              <w:spacing w:after="0" w:line="228" w:lineRule="auto"/>
              <w:jc w:val="center"/>
            </w:pPr>
            <w:r w:rsidRPr="00BA4F7F">
              <w:rPr>
                <w:rFonts w:ascii="Aptos" w:hAnsi="Aptos"/>
                <w:color w:val="222222"/>
                <w:sz w:val="14"/>
              </w:rPr>
              <w:t>41,0</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4ACF33B2" w14:textId="77777777" w:rsidR="00537CA0" w:rsidRPr="00BA4F7F" w:rsidRDefault="00000000">
            <w:pPr>
              <w:spacing w:after="0" w:line="228" w:lineRule="auto"/>
              <w:jc w:val="center"/>
            </w:pPr>
            <w:r w:rsidRPr="00BA4F7F">
              <w:rPr>
                <w:rFonts w:ascii="Aptos" w:hAnsi="Aptos"/>
                <w:color w:val="222222"/>
                <w:sz w:val="14"/>
              </w:rPr>
              <w:t>30%</w:t>
            </w:r>
          </w:p>
        </w:tc>
      </w:tr>
      <w:tr w:rsidR="00537CA0" w:rsidRPr="00BA4F7F" w14:paraId="18591A51"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17824D60" w14:textId="77777777" w:rsidR="00537CA0" w:rsidRPr="00BA4F7F" w:rsidRDefault="00000000">
            <w:pPr>
              <w:spacing w:after="0" w:line="228" w:lineRule="auto"/>
              <w:jc w:val="left"/>
            </w:pPr>
            <w:r w:rsidRPr="00BA4F7F">
              <w:rPr>
                <w:rFonts w:ascii="Aptos" w:hAnsi="Aptos"/>
                <w:b/>
                <w:color w:val="222222"/>
                <w:sz w:val="14"/>
              </w:rPr>
              <w:t>Wsparcie ekonomiczne rodzin</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7CDF21DB" w14:textId="77777777" w:rsidR="00537CA0" w:rsidRPr="00BA4F7F" w:rsidRDefault="00000000">
            <w:pPr>
              <w:spacing w:after="0" w:line="228" w:lineRule="auto"/>
              <w:jc w:val="center"/>
            </w:pPr>
            <w:r w:rsidRPr="00BA4F7F">
              <w:rPr>
                <w:rFonts w:ascii="Aptos" w:hAnsi="Aptos"/>
                <w:color w:val="222222"/>
                <w:sz w:val="14"/>
              </w:rPr>
              <w:t>80 pkt</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1722C16D" w14:textId="77777777" w:rsidR="00537CA0" w:rsidRPr="00BA4F7F" w:rsidRDefault="00000000">
            <w:pPr>
              <w:spacing w:after="0" w:line="228" w:lineRule="auto"/>
              <w:jc w:val="center"/>
            </w:pPr>
            <w:r w:rsidRPr="00BA4F7F">
              <w:rPr>
                <w:rFonts w:ascii="Aptos" w:hAnsi="Aptos"/>
                <w:color w:val="222222"/>
                <w:sz w:val="14"/>
              </w:rPr>
              <w:t>80,0</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2B63379C" w14:textId="77777777" w:rsidR="00537CA0" w:rsidRPr="00BA4F7F" w:rsidRDefault="00000000">
            <w:pPr>
              <w:spacing w:after="0" w:line="228" w:lineRule="auto"/>
              <w:jc w:val="center"/>
            </w:pPr>
            <w:r w:rsidRPr="00BA4F7F">
              <w:rPr>
                <w:rFonts w:ascii="Aptos" w:hAnsi="Aptos"/>
                <w:color w:val="222222"/>
                <w:sz w:val="14"/>
              </w:rPr>
              <w:t>30%</w:t>
            </w:r>
          </w:p>
        </w:tc>
      </w:tr>
      <w:tr w:rsidR="00537CA0" w:rsidRPr="00BA4F7F" w14:paraId="644AB41D"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2D534335" w14:textId="77777777" w:rsidR="00537CA0" w:rsidRPr="00BA4F7F" w:rsidRDefault="00000000">
            <w:pPr>
              <w:spacing w:after="0" w:line="228" w:lineRule="auto"/>
              <w:jc w:val="left"/>
            </w:pPr>
            <w:r w:rsidRPr="00BA4F7F">
              <w:rPr>
                <w:rFonts w:ascii="Aptos" w:hAnsi="Aptos"/>
                <w:b/>
                <w:color w:val="222222"/>
                <w:sz w:val="14"/>
              </w:rPr>
              <w:t>Ograniczanie barier</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6E46216B" w14:textId="77777777" w:rsidR="00537CA0" w:rsidRPr="00BA4F7F" w:rsidRDefault="00000000">
            <w:pPr>
              <w:spacing w:after="0" w:line="228" w:lineRule="auto"/>
              <w:jc w:val="center"/>
            </w:pPr>
            <w:r w:rsidRPr="00BA4F7F">
              <w:rPr>
                <w:rFonts w:ascii="Aptos" w:hAnsi="Aptos"/>
                <w:color w:val="222222"/>
                <w:sz w:val="14"/>
              </w:rPr>
              <w:t>24,2 pkt</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37CE58F" w14:textId="77777777" w:rsidR="00537CA0" w:rsidRPr="00BA4F7F" w:rsidRDefault="00000000">
            <w:pPr>
              <w:spacing w:after="0" w:line="228" w:lineRule="auto"/>
              <w:jc w:val="center"/>
            </w:pPr>
            <w:r w:rsidRPr="00BA4F7F">
              <w:rPr>
                <w:rFonts w:ascii="Aptos" w:hAnsi="Aptos"/>
                <w:color w:val="222222"/>
                <w:sz w:val="14"/>
              </w:rPr>
              <w:t>24,2</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97F50C7" w14:textId="77777777" w:rsidR="00537CA0" w:rsidRPr="00BA4F7F" w:rsidRDefault="00000000">
            <w:pPr>
              <w:spacing w:after="0" w:line="228" w:lineRule="auto"/>
              <w:jc w:val="center"/>
            </w:pPr>
            <w:r w:rsidRPr="00BA4F7F">
              <w:rPr>
                <w:rFonts w:ascii="Aptos" w:hAnsi="Aptos"/>
                <w:color w:val="222222"/>
                <w:sz w:val="14"/>
              </w:rPr>
              <w:t>40%</w:t>
            </w:r>
          </w:p>
        </w:tc>
      </w:tr>
    </w:tbl>
    <w:p w14:paraId="20ECA3DD" w14:textId="77777777" w:rsidR="00537CA0" w:rsidRPr="00BA4F7F" w:rsidRDefault="00537CA0">
      <w:pPr>
        <w:spacing w:after="20"/>
      </w:pPr>
    </w:p>
    <w:p w14:paraId="31571B45" w14:textId="77777777" w:rsidR="00537CA0" w:rsidRPr="00BA4F7F" w:rsidRDefault="00000000">
      <w:pPr>
        <w:keepLines/>
        <w:spacing w:after="30" w:line="240" w:lineRule="auto"/>
      </w:pPr>
      <w:r w:rsidRPr="00BA4F7F">
        <w:rPr>
          <w:b/>
          <w:color w:val="1F4E79"/>
          <w:sz w:val="16"/>
        </w:rPr>
        <w:t xml:space="preserve">Funkcja w IRS i sposób liczenia. </w:t>
      </w:r>
      <w:proofErr w:type="spellStart"/>
      <w:r w:rsidRPr="00BA4F7F">
        <w:rPr>
          <w:color w:val="222222"/>
          <w:sz w:val="16"/>
        </w:rPr>
        <w:t>Subobszar</w:t>
      </w:r>
      <w:proofErr w:type="spellEnd"/>
      <w:r w:rsidRPr="00BA4F7F">
        <w:rPr>
          <w:color w:val="222222"/>
          <w:sz w:val="16"/>
        </w:rPr>
        <w:t xml:space="preserve"> ocenia nie wysokość pojedynczego świadczenia, lecz zdolność państwa do prowadzenia spójnej polityki demograficznej. Łączy ocenę strategii i zarządzania, ekonomicznego wsparcia rodzin oraz ograniczania barier. Wagi sprawiają, że transfery nie mogą samodzielnie zastąpić mieszkań, usług, zdrowia, stabilności pracy i koordynacji międzyresortowej.</w:t>
      </w:r>
    </w:p>
    <w:p w14:paraId="75BDF291" w14:textId="77777777" w:rsidR="00537CA0" w:rsidRPr="00BA4F7F" w:rsidRDefault="00000000">
      <w:pPr>
        <w:keepLines/>
        <w:spacing w:after="30" w:line="240" w:lineRule="auto"/>
      </w:pPr>
      <w:r w:rsidRPr="00BA4F7F">
        <w:rPr>
          <w:b/>
          <w:color w:val="1F4E79"/>
          <w:sz w:val="16"/>
        </w:rPr>
        <w:t xml:space="preserve">Diagnoza i kontekst 2020–2025. </w:t>
      </w:r>
      <w:r w:rsidRPr="00BA4F7F">
        <w:rPr>
          <w:color w:val="222222"/>
          <w:sz w:val="16"/>
        </w:rPr>
        <w:t>Wynik pozostawał blisko 59 pkt w latach 2020–2023, po czym spadł do 50,3 pkt w 2024 r. i 46,0 pkt w 2025 r. Najwyżej oceniane jest wsparcie ekonomiczne – 80 pkt – podczas gdy strategia i zarządzanie uzyskują 41 pkt, a ograniczanie barier tylko 24,2 pkt. Polska zachowała wysoką zdolność do transferowania dochodu i ochrony rodzin przed częścią kosztów kryzysów, lecz nie stworzyła równie silnej architektury mieszkań, opieki, zdrowia prokreacyjnego, elastycznej pracy i oceny rezultatów. Rozproszenie odpowiedzialności powoduje, że wiele instrumentów działa równolegle bez wspólnego testu wpływu na decyzje rodzinne.</w:t>
      </w:r>
    </w:p>
    <w:p w14:paraId="130F8FFA" w14:textId="77777777" w:rsidR="00537CA0" w:rsidRPr="00BA4F7F" w:rsidRDefault="00000000">
      <w:pPr>
        <w:keepLines/>
        <w:spacing w:after="30" w:line="240" w:lineRule="auto"/>
      </w:pPr>
      <w:r w:rsidRPr="00BA4F7F">
        <w:rPr>
          <w:b/>
          <w:color w:val="1F4E79"/>
          <w:sz w:val="16"/>
        </w:rPr>
        <w:t xml:space="preserve">Znaczenie dla racji stanu. </w:t>
      </w:r>
      <w:r w:rsidRPr="00BA4F7F">
        <w:rPr>
          <w:color w:val="222222"/>
          <w:sz w:val="16"/>
        </w:rPr>
        <w:t>Polityka demograficzna jest testem koordynacji całego państwa: finansów, zdrowia, edukacji, mieszkalnictwa, pracy, migracji i kultury. Jeżeli każdy resort optymalizuje własny program, rodzina doświadcza łącznego systemu barier, którego nikt nie jest właścicielem. To obniża skuteczność nawet kosztownych instrumentów.</w:t>
      </w:r>
    </w:p>
    <w:p w14:paraId="5713217E" w14:textId="77777777" w:rsidR="00537CA0" w:rsidRPr="00BA4F7F" w:rsidRDefault="00000000">
      <w:pPr>
        <w:keepLines/>
        <w:spacing w:after="80" w:line="250" w:lineRule="auto"/>
      </w:pPr>
      <w:r w:rsidRPr="00BA4F7F">
        <w:rPr>
          <w:color w:val="222222"/>
          <w:sz w:val="18"/>
        </w:rPr>
        <w:t xml:space="preserve">Wniosek. Wysokie wsparcie pieniężne może poprawiać dobrobyt rodzin, a jednocześnie nie zwiększać dzietności. Nie oznacza to automatycznie, że transfer jest bezwartościowy; oznacza, że realizuje inną funkcję niż odtwarzanie ludności. Bez rozdzielenia celów – </w:t>
      </w:r>
      <w:proofErr w:type="spellStart"/>
      <w:r w:rsidRPr="00BA4F7F">
        <w:rPr>
          <w:color w:val="222222"/>
          <w:sz w:val="18"/>
        </w:rPr>
        <w:t>antyubóstwowego</w:t>
      </w:r>
      <w:proofErr w:type="spellEnd"/>
      <w:r w:rsidRPr="00BA4F7F">
        <w:rPr>
          <w:color w:val="222222"/>
          <w:sz w:val="18"/>
        </w:rPr>
        <w:t xml:space="preserve">, dochodowego i demograficznego – polityka może być politycznie widoczna, lecz analitycznie </w:t>
      </w:r>
      <w:proofErr w:type="spellStart"/>
      <w:r w:rsidRPr="00BA4F7F">
        <w:rPr>
          <w:color w:val="222222"/>
          <w:sz w:val="18"/>
        </w:rPr>
        <w:t>nierozliczalna</w:t>
      </w:r>
      <w:proofErr w:type="spellEnd"/>
      <w:r w:rsidRPr="00BA4F7F">
        <w:rPr>
          <w:color w:val="222222"/>
          <w:sz w:val="18"/>
        </w:rPr>
        <w:t>.</w:t>
      </w:r>
    </w:p>
    <w:tbl>
      <w:tblPr>
        <w:tblW w:w="0" w:type="auto"/>
        <w:jc w:val="center"/>
        <w:tblLayout w:type="fixed"/>
        <w:tblLook w:val="04A0" w:firstRow="1" w:lastRow="0" w:firstColumn="1" w:lastColumn="0" w:noHBand="0" w:noVBand="1"/>
      </w:tblPr>
      <w:tblGrid>
        <w:gridCol w:w="1474"/>
        <w:gridCol w:w="7540"/>
      </w:tblGrid>
      <w:tr w:rsidR="00537CA0" w:rsidRPr="00BA4F7F" w14:paraId="66C5B970"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B23A48"/>
            <w:tcMar>
              <w:top w:w="45" w:type="dxa"/>
              <w:left w:w="70" w:type="dxa"/>
              <w:bottom w:w="45" w:type="dxa"/>
              <w:right w:w="70" w:type="dxa"/>
            </w:tcMar>
            <w:vAlign w:val="center"/>
          </w:tcPr>
          <w:p w14:paraId="13F8B70B" w14:textId="77777777" w:rsidR="003357E9" w:rsidRPr="00BA4F7F" w:rsidRDefault="00000000">
            <w:r w:rsidRPr="00BA4F7F">
              <w:rPr>
                <w:b/>
              </w:rPr>
              <w:t>STATUS OSTRZEGAWCZY 2025</w:t>
            </w:r>
          </w:p>
        </w:tc>
        <w:tc>
          <w:tcPr>
            <w:tcW w:w="7540" w:type="dxa"/>
            <w:tcBorders>
              <w:top w:val="single" w:sz="5" w:space="0" w:color="1F4E79"/>
              <w:left w:val="single" w:sz="5" w:space="0" w:color="1F4E79"/>
              <w:bottom w:val="single" w:sz="5" w:space="0" w:color="1F4E79"/>
              <w:right w:val="single" w:sz="5" w:space="0" w:color="1F4E79"/>
            </w:tcBorders>
            <w:shd w:val="clear" w:color="auto" w:fill="FCE8EA"/>
            <w:tcMar>
              <w:top w:w="45" w:type="dxa"/>
              <w:left w:w="70" w:type="dxa"/>
              <w:bottom w:w="45" w:type="dxa"/>
              <w:right w:w="70" w:type="dxa"/>
            </w:tcMar>
            <w:vAlign w:val="center"/>
          </w:tcPr>
          <w:p w14:paraId="4792D36C" w14:textId="77777777" w:rsidR="003357E9" w:rsidRPr="00BA4F7F" w:rsidRDefault="00000000">
            <w:r w:rsidRPr="00BA4F7F">
              <w:t xml:space="preserve">Pogorszenie strukturalne: wynik obniżył się od 2022 do 2025 r. o 12,8 pkt, a w ruchomym oknie wystąpiły dwa lata pogorszenia. </w:t>
            </w:r>
            <w:proofErr w:type="spellStart"/>
            <w:r w:rsidRPr="00BA4F7F">
              <w:t>Subindeks</w:t>
            </w:r>
            <w:proofErr w:type="spellEnd"/>
            <w:r w:rsidRPr="00BA4F7F">
              <w:t xml:space="preserve"> Demografia pozostaje dodatkowo w strefie wysokiego ryzyka.</w:t>
            </w:r>
          </w:p>
        </w:tc>
      </w:tr>
      <w:tr w:rsidR="00537CA0" w:rsidRPr="00BA4F7F" w14:paraId="6984AD51"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4A67EA68"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0F988721" w14:textId="77777777" w:rsidR="00537CA0" w:rsidRPr="00BA4F7F" w:rsidRDefault="00000000">
            <w:pPr>
              <w:spacing w:after="0" w:line="240" w:lineRule="auto"/>
              <w:jc w:val="left"/>
            </w:pPr>
            <w:r w:rsidRPr="00BA4F7F">
              <w:rPr>
                <w:color w:val="222222"/>
                <w:sz w:val="15"/>
              </w:rPr>
              <w:t>Utworzenie trwałej architektury zarządzania demografią z właścicielem wyniku, horyzontami 3/10/25 lat, badaniem barier oraz ewaluacją wpływu wszystkich głównych instrumentów.</w:t>
            </w:r>
          </w:p>
        </w:tc>
      </w:tr>
      <w:tr w:rsidR="00537CA0" w:rsidRPr="00BA4F7F" w14:paraId="0B317D69"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21F9DC56"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098695E7" w14:textId="77777777" w:rsidR="00537CA0" w:rsidRPr="00BA4F7F" w:rsidRDefault="00000000">
            <w:pPr>
              <w:spacing w:after="0" w:line="240" w:lineRule="auto"/>
              <w:jc w:val="left"/>
            </w:pPr>
            <w:r w:rsidRPr="00BA4F7F">
              <w:rPr>
                <w:color w:val="222222"/>
                <w:sz w:val="15"/>
              </w:rPr>
              <w:t>Redukcja zidentyfikowanych barier, stabilne usługi dla rodzin, lepsza dostępność mieszkań i zdrowia oraz mierzalna poprawa wyników demograficznych, a nie wyłącznie wzrost wydatków.</w:t>
            </w:r>
          </w:p>
        </w:tc>
      </w:tr>
    </w:tbl>
    <w:p w14:paraId="04A4EB5B" w14:textId="77777777" w:rsidR="00537CA0" w:rsidRPr="00BA4F7F" w:rsidRDefault="00537CA0">
      <w:pPr>
        <w:pStyle w:val="SourceNote"/>
        <w:keepLines/>
        <w:spacing w:before="30" w:after="0"/>
        <w:rPr>
          <w:lang w:val="pl-PL"/>
        </w:rPr>
      </w:pPr>
    </w:p>
    <w:p w14:paraId="45E5BD1A" w14:textId="77777777" w:rsidR="00537CA0" w:rsidRPr="00BA4F7F" w:rsidRDefault="00000000">
      <w:pPr>
        <w:spacing w:after="0"/>
      </w:pPr>
      <w:r w:rsidRPr="00BA4F7F">
        <w:br w:type="page"/>
      </w:r>
    </w:p>
    <w:p w14:paraId="19946D62" w14:textId="77777777" w:rsidR="00537CA0" w:rsidRPr="00BA4F7F" w:rsidRDefault="00000000">
      <w:pPr>
        <w:pStyle w:val="Nagwek2"/>
        <w:spacing w:before="0" w:after="60"/>
      </w:pPr>
      <w:r w:rsidRPr="00BA4F7F">
        <w:rPr>
          <w:rFonts w:ascii="Aptos Display" w:hAnsi="Aptos Display"/>
          <w:sz w:val="30"/>
        </w:rPr>
        <w:lastRenderedPageBreak/>
        <w:t>14A.11. Dochody i warunki życia</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00CEE644"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6E350165" w14:textId="77777777" w:rsidR="00537CA0" w:rsidRPr="00BA4F7F" w:rsidRDefault="00000000">
            <w:pPr>
              <w:spacing w:after="0" w:line="240" w:lineRule="auto"/>
              <w:jc w:val="left"/>
            </w:pPr>
            <w:r w:rsidRPr="00BA4F7F">
              <w:rPr>
                <w:rFonts w:ascii="Aptos" w:hAnsi="Aptos"/>
                <w:b/>
                <w:color w:val="FFFFFF"/>
                <w:sz w:val="14"/>
              </w:rPr>
              <w:t>WYNIK 2025</w:t>
            </w:r>
            <w:r w:rsidRPr="00BA4F7F">
              <w:rPr>
                <w:rFonts w:ascii="Aptos" w:hAnsi="Aptos"/>
                <w:b/>
                <w:color w:val="FFFFFF"/>
                <w:sz w:val="14"/>
              </w:rPr>
              <w:br/>
            </w:r>
            <w:r w:rsidRPr="00BA4F7F">
              <w:rPr>
                <w:rFonts w:ascii="Aptos" w:hAnsi="Aptos"/>
                <w:b/>
                <w:color w:val="FFFFFF"/>
                <w:sz w:val="34"/>
              </w:rPr>
              <w:t>76,5</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028373C2" w14:textId="77777777" w:rsidR="00537CA0" w:rsidRPr="00BA4F7F" w:rsidRDefault="00000000">
            <w:pPr>
              <w:spacing w:after="0" w:line="240" w:lineRule="auto"/>
              <w:jc w:val="left"/>
            </w:pPr>
            <w:r w:rsidRPr="00BA4F7F">
              <w:rPr>
                <w:rFonts w:ascii="Aptos" w:hAnsi="Aptos"/>
                <w:b/>
                <w:color w:val="FFFFFF"/>
                <w:sz w:val="14"/>
              </w:rPr>
              <w:t>ZMIANA 2020–2025</w:t>
            </w:r>
            <w:r w:rsidRPr="00BA4F7F">
              <w:rPr>
                <w:rFonts w:ascii="Aptos" w:hAnsi="Aptos"/>
                <w:b/>
                <w:color w:val="FFFFFF"/>
                <w:sz w:val="14"/>
              </w:rPr>
              <w:br/>
            </w:r>
            <w:r w:rsidRPr="00BA4F7F">
              <w:rPr>
                <w:rFonts w:ascii="Aptos" w:hAnsi="Aptos"/>
                <w:b/>
                <w:color w:val="FFFFFF"/>
                <w:sz w:val="34"/>
              </w:rPr>
              <w:t>+8,3</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07FC9AE5"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umiarkowanie dobra odporność</w:t>
            </w:r>
          </w:p>
        </w:tc>
      </w:tr>
    </w:tbl>
    <w:p w14:paraId="1C64631D" w14:textId="77777777" w:rsidR="00537CA0" w:rsidRPr="00BA4F7F" w:rsidRDefault="00000000">
      <w:pPr>
        <w:keepLines/>
        <w:spacing w:before="20" w:after="30"/>
        <w:jc w:val="center"/>
      </w:pPr>
      <w:r w:rsidRPr="00BA4F7F">
        <w:rPr>
          <w:noProof/>
        </w:rPr>
        <w:drawing>
          <wp:inline distT="0" distB="0" distL="0" distR="0" wp14:anchorId="24942D07" wp14:editId="63901C3D">
            <wp:extent cx="5688000" cy="1119880"/>
            <wp:effectExtent l="0" t="0" r="0" b="0"/>
            <wp:docPr id="1690576331" name="Picture 1690576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11.png"/>
                    <pic:cNvPicPr/>
                  </pic:nvPicPr>
                  <pic:blipFill>
                    <a:blip r:embed="rId35"/>
                    <a:stretch>
                      <a:fillRect/>
                    </a:stretch>
                  </pic:blipFill>
                  <pic:spPr>
                    <a:xfrm>
                      <a:off x="0" y="0"/>
                      <a:ext cx="5688000" cy="1119880"/>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3969"/>
        <w:gridCol w:w="2154"/>
        <w:gridCol w:w="1531"/>
        <w:gridCol w:w="1361"/>
      </w:tblGrid>
      <w:tr w:rsidR="00537CA0" w:rsidRPr="00BA4F7F" w14:paraId="73EEF720" w14:textId="77777777">
        <w:trPr>
          <w:cantSplit/>
          <w:tblHeader/>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523AFE65" w14:textId="77777777" w:rsidR="00537CA0" w:rsidRPr="00BA4F7F" w:rsidRDefault="00000000">
            <w:pPr>
              <w:spacing w:after="0"/>
              <w:jc w:val="center"/>
            </w:pPr>
            <w:r w:rsidRPr="00BA4F7F">
              <w:rPr>
                <w:rFonts w:ascii="Aptos" w:hAnsi="Aptos"/>
                <w:b/>
                <w:color w:val="FFFFFF"/>
                <w:sz w:val="14"/>
              </w:rPr>
              <w:t>Składnik modelu</w:t>
            </w:r>
          </w:p>
        </w:tc>
        <w:tc>
          <w:tcPr>
            <w:tcW w:w="2154"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3C3E433E" w14:textId="77777777" w:rsidR="00537CA0" w:rsidRPr="00BA4F7F" w:rsidRDefault="00000000">
            <w:pPr>
              <w:spacing w:after="0"/>
              <w:jc w:val="center"/>
            </w:pPr>
            <w:r w:rsidRPr="00BA4F7F">
              <w:rPr>
                <w:rFonts w:ascii="Aptos" w:hAnsi="Aptos"/>
                <w:b/>
                <w:color w:val="FFFFFF"/>
                <w:sz w:val="14"/>
              </w:rPr>
              <w:t>Wartość / ocena 2025</w:t>
            </w:r>
          </w:p>
        </w:tc>
        <w:tc>
          <w:tcPr>
            <w:tcW w:w="153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3BA67BE3" w14:textId="77777777" w:rsidR="00537CA0" w:rsidRPr="00BA4F7F" w:rsidRDefault="00000000">
            <w:pPr>
              <w:spacing w:after="0"/>
              <w:jc w:val="center"/>
            </w:pPr>
            <w:r w:rsidRPr="00BA4F7F">
              <w:rPr>
                <w:rFonts w:ascii="Aptos" w:hAnsi="Aptos"/>
                <w:b/>
                <w:color w:val="FFFFFF"/>
                <w:sz w:val="14"/>
              </w:rPr>
              <w:t>Punkty IRS</w:t>
            </w:r>
          </w:p>
        </w:tc>
        <w:tc>
          <w:tcPr>
            <w:tcW w:w="136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7CEB8F8C" w14:textId="77777777" w:rsidR="00537CA0" w:rsidRPr="00BA4F7F" w:rsidRDefault="00000000">
            <w:pPr>
              <w:spacing w:after="0"/>
              <w:jc w:val="center"/>
            </w:pPr>
            <w:r w:rsidRPr="00BA4F7F">
              <w:rPr>
                <w:rFonts w:ascii="Aptos" w:hAnsi="Aptos"/>
                <w:b/>
                <w:color w:val="FFFFFF"/>
                <w:sz w:val="14"/>
              </w:rPr>
              <w:t>Waga</w:t>
            </w:r>
          </w:p>
        </w:tc>
      </w:tr>
      <w:tr w:rsidR="00537CA0" w:rsidRPr="00BA4F7F" w14:paraId="42E409B3"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18B7DD6" w14:textId="77777777" w:rsidR="00537CA0" w:rsidRPr="00BA4F7F" w:rsidRDefault="00000000">
            <w:pPr>
              <w:spacing w:after="0" w:line="228" w:lineRule="auto"/>
              <w:jc w:val="left"/>
            </w:pPr>
            <w:r w:rsidRPr="00BA4F7F">
              <w:rPr>
                <w:rFonts w:ascii="Aptos" w:hAnsi="Aptos"/>
                <w:b/>
                <w:color w:val="222222"/>
                <w:sz w:val="14"/>
              </w:rPr>
              <w:t>AROPE</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4F675448" w14:textId="77777777" w:rsidR="00537CA0" w:rsidRPr="00BA4F7F" w:rsidRDefault="00000000">
            <w:pPr>
              <w:spacing w:after="0" w:line="228" w:lineRule="auto"/>
              <w:jc w:val="center"/>
            </w:pPr>
            <w:r w:rsidRPr="00BA4F7F">
              <w:rPr>
                <w:rFonts w:ascii="Aptos" w:hAnsi="Aptos"/>
                <w:color w:val="222222"/>
                <w:sz w:val="14"/>
              </w:rPr>
              <w:t>15,0% (UE: 20,9%)</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4A192A51" w14:textId="77777777" w:rsidR="00537CA0" w:rsidRPr="00BA4F7F" w:rsidRDefault="00000000">
            <w:pPr>
              <w:spacing w:after="0" w:line="228" w:lineRule="auto"/>
              <w:jc w:val="center"/>
            </w:pPr>
            <w:r w:rsidRPr="00BA4F7F">
              <w:rPr>
                <w:rFonts w:ascii="Aptos" w:hAnsi="Aptos"/>
                <w:color w:val="222222"/>
                <w:sz w:val="14"/>
              </w:rPr>
              <w:t>81,8</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42794F4D" w14:textId="77777777" w:rsidR="00537CA0" w:rsidRPr="00BA4F7F" w:rsidRDefault="00000000">
            <w:pPr>
              <w:spacing w:after="0" w:line="228" w:lineRule="auto"/>
              <w:jc w:val="center"/>
            </w:pPr>
            <w:r w:rsidRPr="00BA4F7F">
              <w:rPr>
                <w:rFonts w:ascii="Aptos" w:hAnsi="Aptos"/>
                <w:color w:val="222222"/>
                <w:sz w:val="14"/>
              </w:rPr>
              <w:t>30%</w:t>
            </w:r>
          </w:p>
        </w:tc>
      </w:tr>
      <w:tr w:rsidR="00537CA0" w:rsidRPr="00BA4F7F" w14:paraId="1EC0F6D0"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4154F1DE" w14:textId="77777777" w:rsidR="00537CA0" w:rsidRPr="00BA4F7F" w:rsidRDefault="00000000">
            <w:pPr>
              <w:spacing w:after="0" w:line="228" w:lineRule="auto"/>
              <w:jc w:val="left"/>
            </w:pPr>
            <w:r w:rsidRPr="00BA4F7F">
              <w:rPr>
                <w:rFonts w:ascii="Aptos" w:hAnsi="Aptos"/>
                <w:b/>
                <w:color w:val="222222"/>
                <w:sz w:val="14"/>
              </w:rPr>
              <w:t>Dochód do dyspozycji</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72CFA351" w14:textId="77777777" w:rsidR="00537CA0" w:rsidRPr="00BA4F7F" w:rsidRDefault="00000000">
            <w:pPr>
              <w:spacing w:after="0" w:line="228" w:lineRule="auto"/>
              <w:jc w:val="center"/>
            </w:pPr>
            <w:r w:rsidRPr="00BA4F7F">
              <w:rPr>
                <w:rFonts w:ascii="Aptos" w:hAnsi="Aptos"/>
                <w:color w:val="222222"/>
                <w:sz w:val="14"/>
              </w:rPr>
              <w:t>21 578 PPS</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22B95A2E" w14:textId="77777777" w:rsidR="00537CA0" w:rsidRPr="00BA4F7F" w:rsidRDefault="00000000">
            <w:pPr>
              <w:spacing w:after="0" w:line="228" w:lineRule="auto"/>
              <w:jc w:val="center"/>
            </w:pPr>
            <w:r w:rsidRPr="00BA4F7F">
              <w:rPr>
                <w:rFonts w:ascii="Aptos" w:hAnsi="Aptos"/>
                <w:color w:val="222222"/>
                <w:sz w:val="14"/>
              </w:rPr>
              <w:t>84,3</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3BC56503" w14:textId="77777777" w:rsidR="00537CA0" w:rsidRPr="00BA4F7F" w:rsidRDefault="00000000">
            <w:pPr>
              <w:spacing w:after="0" w:line="228" w:lineRule="auto"/>
              <w:jc w:val="center"/>
            </w:pPr>
            <w:r w:rsidRPr="00BA4F7F">
              <w:rPr>
                <w:rFonts w:ascii="Aptos" w:hAnsi="Aptos"/>
                <w:color w:val="222222"/>
                <w:sz w:val="14"/>
              </w:rPr>
              <w:t>30%</w:t>
            </w:r>
          </w:p>
        </w:tc>
      </w:tr>
      <w:tr w:rsidR="00537CA0" w:rsidRPr="00BA4F7F" w14:paraId="14DFD22A"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6BC9516B" w14:textId="77777777" w:rsidR="00537CA0" w:rsidRPr="00BA4F7F" w:rsidRDefault="00000000">
            <w:pPr>
              <w:spacing w:after="0" w:line="228" w:lineRule="auto"/>
              <w:jc w:val="left"/>
            </w:pPr>
            <w:r w:rsidRPr="00BA4F7F">
              <w:rPr>
                <w:rFonts w:ascii="Aptos" w:hAnsi="Aptos"/>
                <w:b/>
                <w:color w:val="222222"/>
                <w:sz w:val="14"/>
              </w:rPr>
              <w:t>Przeludnienie mieszkań</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25455721" w14:textId="77777777" w:rsidR="00537CA0" w:rsidRPr="00BA4F7F" w:rsidRDefault="00000000">
            <w:pPr>
              <w:spacing w:after="0" w:line="228" w:lineRule="auto"/>
              <w:jc w:val="center"/>
            </w:pPr>
            <w:r w:rsidRPr="00BA4F7F">
              <w:rPr>
                <w:rFonts w:ascii="Aptos" w:hAnsi="Aptos"/>
                <w:color w:val="222222"/>
                <w:sz w:val="14"/>
              </w:rPr>
              <w:t>30,9% (UE: 16,8%)</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02C5E22" w14:textId="77777777" w:rsidR="00537CA0" w:rsidRPr="00BA4F7F" w:rsidRDefault="00000000">
            <w:pPr>
              <w:spacing w:after="0" w:line="228" w:lineRule="auto"/>
              <w:jc w:val="center"/>
            </w:pPr>
            <w:r w:rsidRPr="00BA4F7F">
              <w:rPr>
                <w:rFonts w:ascii="Aptos" w:hAnsi="Aptos"/>
                <w:color w:val="222222"/>
                <w:sz w:val="14"/>
              </w:rPr>
              <w:t>58,0</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12433B0" w14:textId="77777777" w:rsidR="00537CA0" w:rsidRPr="00BA4F7F" w:rsidRDefault="00000000">
            <w:pPr>
              <w:spacing w:after="0" w:line="228" w:lineRule="auto"/>
              <w:jc w:val="center"/>
            </w:pPr>
            <w:r w:rsidRPr="00BA4F7F">
              <w:rPr>
                <w:rFonts w:ascii="Aptos" w:hAnsi="Aptos"/>
                <w:color w:val="222222"/>
                <w:sz w:val="14"/>
              </w:rPr>
              <w:t>25%</w:t>
            </w:r>
          </w:p>
        </w:tc>
      </w:tr>
      <w:tr w:rsidR="00537CA0" w:rsidRPr="00BA4F7F" w14:paraId="33A30AE6"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698E4609" w14:textId="77777777" w:rsidR="00537CA0" w:rsidRPr="00BA4F7F" w:rsidRDefault="00000000">
            <w:pPr>
              <w:spacing w:after="0" w:line="228" w:lineRule="auto"/>
              <w:jc w:val="left"/>
            </w:pPr>
            <w:r w:rsidRPr="00BA4F7F">
              <w:rPr>
                <w:rFonts w:ascii="Aptos" w:hAnsi="Aptos"/>
                <w:b/>
                <w:color w:val="222222"/>
                <w:sz w:val="14"/>
              </w:rPr>
              <w:t xml:space="preserve">Współczynnik </w:t>
            </w:r>
            <w:proofErr w:type="spellStart"/>
            <w:r w:rsidRPr="00BA4F7F">
              <w:rPr>
                <w:rFonts w:ascii="Aptos" w:hAnsi="Aptos"/>
                <w:b/>
                <w:color w:val="222222"/>
                <w:sz w:val="14"/>
              </w:rPr>
              <w:t>Giniego</w:t>
            </w:r>
            <w:proofErr w:type="spellEnd"/>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1221AAA1" w14:textId="77777777" w:rsidR="00537CA0" w:rsidRPr="00BA4F7F" w:rsidRDefault="00000000">
            <w:pPr>
              <w:spacing w:after="0" w:line="228" w:lineRule="auto"/>
              <w:jc w:val="center"/>
            </w:pPr>
            <w:r w:rsidRPr="00BA4F7F">
              <w:rPr>
                <w:rFonts w:ascii="Aptos" w:hAnsi="Aptos"/>
                <w:color w:val="222222"/>
                <w:sz w:val="14"/>
              </w:rPr>
              <w:t>24,9</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309B906C" w14:textId="77777777" w:rsidR="00537CA0" w:rsidRPr="00BA4F7F" w:rsidRDefault="00000000">
            <w:pPr>
              <w:spacing w:after="0" w:line="228" w:lineRule="auto"/>
              <w:jc w:val="center"/>
            </w:pPr>
            <w:r w:rsidRPr="00BA4F7F">
              <w:rPr>
                <w:rFonts w:ascii="Aptos" w:hAnsi="Aptos"/>
                <w:color w:val="222222"/>
                <w:sz w:val="14"/>
              </w:rPr>
              <w:t>80,8</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5B003FF9" w14:textId="77777777" w:rsidR="00537CA0" w:rsidRPr="00BA4F7F" w:rsidRDefault="00000000">
            <w:pPr>
              <w:spacing w:after="0" w:line="228" w:lineRule="auto"/>
              <w:jc w:val="center"/>
            </w:pPr>
            <w:r w:rsidRPr="00BA4F7F">
              <w:rPr>
                <w:rFonts w:ascii="Aptos" w:hAnsi="Aptos"/>
                <w:color w:val="222222"/>
                <w:sz w:val="14"/>
              </w:rPr>
              <w:t>15%</w:t>
            </w:r>
          </w:p>
        </w:tc>
      </w:tr>
    </w:tbl>
    <w:p w14:paraId="10E5F26C" w14:textId="77777777" w:rsidR="00537CA0" w:rsidRPr="00BA4F7F" w:rsidRDefault="00537CA0">
      <w:pPr>
        <w:spacing w:after="20"/>
      </w:pPr>
    </w:p>
    <w:p w14:paraId="6091DD0B" w14:textId="77777777" w:rsidR="00537CA0" w:rsidRPr="00BA4F7F" w:rsidRDefault="00000000">
      <w:pPr>
        <w:keepLines/>
        <w:spacing w:after="30" w:line="240" w:lineRule="auto"/>
      </w:pPr>
      <w:r w:rsidRPr="00BA4F7F">
        <w:rPr>
          <w:b/>
          <w:color w:val="1F4E79"/>
          <w:sz w:val="16"/>
        </w:rPr>
        <w:t xml:space="preserve">Funkcja w IRS i sposób liczenia. </w:t>
      </w:r>
      <w:proofErr w:type="spellStart"/>
      <w:r w:rsidRPr="00BA4F7F">
        <w:rPr>
          <w:color w:val="222222"/>
          <w:sz w:val="16"/>
        </w:rPr>
        <w:t>Subobszar</w:t>
      </w:r>
      <w:proofErr w:type="spellEnd"/>
      <w:r w:rsidRPr="00BA4F7F">
        <w:rPr>
          <w:color w:val="222222"/>
          <w:sz w:val="16"/>
        </w:rPr>
        <w:t xml:space="preserve"> mierzy materialną podstawę spójności: ryzyko ubóstwa i wykluczenia, realną siłę nabywczą dochodów, warunki mieszkaniowe oraz nierówności. Wskaźniki są normalizowane względem progów i odniesień europejskich. Wynik opisuje bezpieczeństwo materialne i możliwość samodzielnego funkcjonowania, nie subiektywne zadowolenie z życia.</w:t>
      </w:r>
    </w:p>
    <w:p w14:paraId="56D9D798" w14:textId="77777777" w:rsidR="00537CA0" w:rsidRPr="00BA4F7F" w:rsidRDefault="00000000">
      <w:pPr>
        <w:keepLines/>
        <w:spacing w:after="30" w:line="240" w:lineRule="auto"/>
      </w:pPr>
      <w:r w:rsidRPr="00BA4F7F">
        <w:rPr>
          <w:b/>
          <w:color w:val="1F4E79"/>
          <w:sz w:val="16"/>
        </w:rPr>
        <w:t xml:space="preserve">Diagnoza i kontekst 2020–2025. </w:t>
      </w:r>
      <w:r w:rsidRPr="00BA4F7F">
        <w:rPr>
          <w:color w:val="222222"/>
          <w:sz w:val="16"/>
        </w:rPr>
        <w:t xml:space="preserve">Wynik rośnie konsekwentnie z 68,1 pkt w 2020 r. do 76,5 pkt w 2025 r., mimo pandemii i szoku inflacyjnego. AROPE wynosi 15,0%, współczynnik </w:t>
      </w:r>
      <w:proofErr w:type="spellStart"/>
      <w:r w:rsidRPr="00BA4F7F">
        <w:rPr>
          <w:color w:val="222222"/>
          <w:sz w:val="16"/>
        </w:rPr>
        <w:t>Giniego</w:t>
      </w:r>
      <w:proofErr w:type="spellEnd"/>
      <w:r w:rsidRPr="00BA4F7F">
        <w:rPr>
          <w:color w:val="222222"/>
          <w:sz w:val="16"/>
        </w:rPr>
        <w:t xml:space="preserve"> 24,9, a dochód do dyspozycji 21 578 PPS, co pokazuje konwergencję siły nabywczej i relatywnie korzystny rozkład dochodów. Największą słabością pozostaje przeludnienie mieszkań na poziomie 30,9% – niemal dwukrotnie wyższe niż średnia UE. Wzrost płac i transferów chronił dochody, ale szybki wzrost cen mieszkań i kosztów najmu ograniczał możliwość usamodzielnienia się młodych i mobilność pracowników.</w:t>
      </w:r>
    </w:p>
    <w:p w14:paraId="7E30D1EF" w14:textId="77777777" w:rsidR="00537CA0" w:rsidRPr="00BA4F7F" w:rsidRDefault="00000000">
      <w:pPr>
        <w:keepLines/>
        <w:spacing w:after="30" w:line="240" w:lineRule="auto"/>
      </w:pPr>
      <w:r w:rsidRPr="00BA4F7F">
        <w:rPr>
          <w:b/>
          <w:color w:val="1F4E79"/>
          <w:sz w:val="16"/>
        </w:rPr>
        <w:t xml:space="preserve">Znaczenie dla racji stanu. </w:t>
      </w:r>
      <w:r w:rsidRPr="00BA4F7F">
        <w:rPr>
          <w:color w:val="222222"/>
          <w:sz w:val="16"/>
        </w:rPr>
        <w:t>Warunki mieszkaniowe łączą spójność społeczną z Demografią, rynkiem pracy i rozwojem regionalnym. Państwo może skutecznie ograniczać ubóstwo dochodowe, a równocześnie utrzymywać bariery majątkowe i mieszkaniowe, które opóźniają tworzenie rodzin i utrwalają zależność od gospodarstwa rodziców.</w:t>
      </w:r>
    </w:p>
    <w:p w14:paraId="31F2B75C" w14:textId="77777777" w:rsidR="00537CA0" w:rsidRPr="00BA4F7F" w:rsidRDefault="00000000">
      <w:pPr>
        <w:keepLines/>
        <w:spacing w:after="80" w:line="250" w:lineRule="auto"/>
      </w:pPr>
      <w:r w:rsidRPr="00BA4F7F">
        <w:rPr>
          <w:color w:val="222222"/>
          <w:sz w:val="18"/>
        </w:rPr>
        <w:t>Wniosek. Niskie nierówności dochodowe nie muszą oznaczać wysokiej równości szans. Dostęp do mieszkania, kapitału i usług może różnicować perspektywy silniej niż bieżący dochód. Polska poprawiła dystrybucję strumienia dochodów szybciej niż dostęp do zasobów umożliwiających samodzielność i długoterminowe decyzje.</w:t>
      </w:r>
    </w:p>
    <w:tbl>
      <w:tblPr>
        <w:tblW w:w="0" w:type="auto"/>
        <w:jc w:val="center"/>
        <w:tblLayout w:type="fixed"/>
        <w:tblLook w:val="04A0" w:firstRow="1" w:lastRow="0" w:firstColumn="1" w:lastColumn="0" w:noHBand="0" w:noVBand="1"/>
      </w:tblPr>
      <w:tblGrid>
        <w:gridCol w:w="1474"/>
        <w:gridCol w:w="7540"/>
      </w:tblGrid>
      <w:tr w:rsidR="00537CA0" w:rsidRPr="00BA4F7F" w14:paraId="1F2A5B79"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47710FE0"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577ADAD7" w14:textId="77777777" w:rsidR="00537CA0" w:rsidRPr="00BA4F7F" w:rsidRDefault="00000000">
            <w:pPr>
              <w:spacing w:after="0" w:line="240" w:lineRule="auto"/>
              <w:jc w:val="left"/>
            </w:pPr>
            <w:r w:rsidRPr="00BA4F7F">
              <w:rPr>
                <w:color w:val="222222"/>
                <w:sz w:val="15"/>
              </w:rPr>
              <w:t>Łączenie ochrony dochodów z podażową polityką mieszkaniową, dostępnością usług lokalnych i mechanizmami wspierającymi usamodzielnienie oraz mobilność młodych dorosłych.</w:t>
            </w:r>
          </w:p>
        </w:tc>
      </w:tr>
      <w:tr w:rsidR="00537CA0" w:rsidRPr="00BA4F7F" w14:paraId="5B25FEFE"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370403FA"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3019718D" w14:textId="77777777" w:rsidR="00537CA0" w:rsidRPr="00BA4F7F" w:rsidRDefault="00000000">
            <w:pPr>
              <w:spacing w:after="0" w:line="240" w:lineRule="auto"/>
              <w:jc w:val="left"/>
            </w:pPr>
            <w:r w:rsidRPr="00BA4F7F">
              <w:rPr>
                <w:color w:val="222222"/>
                <w:sz w:val="15"/>
              </w:rPr>
              <w:t>Dalszy spadek AROPE bez pogorszenia aktywności zawodowej, wzrost dochodu realnego, trwały spadek przeludnienia i poprawa dostępności mieszkań względem dochodów.</w:t>
            </w:r>
          </w:p>
        </w:tc>
      </w:tr>
    </w:tbl>
    <w:p w14:paraId="5BB44F22" w14:textId="77777777" w:rsidR="00537CA0" w:rsidRPr="00BA4F7F" w:rsidRDefault="00000000">
      <w:pPr>
        <w:spacing w:after="0"/>
      </w:pPr>
      <w:r w:rsidRPr="00BA4F7F">
        <w:br w:type="page"/>
      </w:r>
    </w:p>
    <w:p w14:paraId="2F4CA4AB" w14:textId="77777777" w:rsidR="00537CA0" w:rsidRPr="00BA4F7F" w:rsidRDefault="00000000">
      <w:pPr>
        <w:pStyle w:val="Nagwek2"/>
        <w:spacing w:before="0" w:after="60"/>
      </w:pPr>
      <w:r w:rsidRPr="00BA4F7F">
        <w:rPr>
          <w:rFonts w:ascii="Aptos Display" w:hAnsi="Aptos Display"/>
          <w:sz w:val="30"/>
        </w:rPr>
        <w:lastRenderedPageBreak/>
        <w:t>14A.12. Integracja i kapitał społeczny</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2E230B07"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2A55FB61" w14:textId="77777777" w:rsidR="00537CA0" w:rsidRPr="00BA4F7F" w:rsidRDefault="00000000">
            <w:pPr>
              <w:spacing w:after="0" w:line="240" w:lineRule="auto"/>
              <w:jc w:val="left"/>
            </w:pPr>
            <w:r w:rsidRPr="00BA4F7F">
              <w:rPr>
                <w:rFonts w:ascii="Aptos" w:hAnsi="Aptos"/>
                <w:b/>
                <w:color w:val="FFFFFF"/>
                <w:sz w:val="14"/>
              </w:rPr>
              <w:t>WYNIK 2025</w:t>
            </w:r>
            <w:r w:rsidRPr="00BA4F7F">
              <w:rPr>
                <w:rFonts w:ascii="Aptos" w:hAnsi="Aptos"/>
                <w:b/>
                <w:color w:val="FFFFFF"/>
                <w:sz w:val="14"/>
              </w:rPr>
              <w:br/>
            </w:r>
            <w:r w:rsidRPr="00BA4F7F">
              <w:rPr>
                <w:rFonts w:ascii="Aptos" w:hAnsi="Aptos"/>
                <w:b/>
                <w:color w:val="FFFFFF"/>
                <w:sz w:val="34"/>
              </w:rPr>
              <w:t>38,0</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3F99881D" w14:textId="77777777" w:rsidR="00537CA0" w:rsidRPr="00BA4F7F" w:rsidRDefault="00000000">
            <w:pPr>
              <w:spacing w:after="0" w:line="240" w:lineRule="auto"/>
              <w:jc w:val="left"/>
            </w:pPr>
            <w:r w:rsidRPr="00BA4F7F">
              <w:rPr>
                <w:rFonts w:ascii="Aptos" w:hAnsi="Aptos"/>
                <w:b/>
                <w:color w:val="FFFFFF"/>
                <w:sz w:val="14"/>
              </w:rPr>
              <w:t>ZMIANA 2020–2025</w:t>
            </w:r>
            <w:r w:rsidRPr="00BA4F7F">
              <w:rPr>
                <w:rFonts w:ascii="Aptos" w:hAnsi="Aptos"/>
                <w:b/>
                <w:color w:val="FFFFFF"/>
                <w:sz w:val="14"/>
              </w:rPr>
              <w:br/>
            </w:r>
            <w:r w:rsidRPr="00BA4F7F">
              <w:rPr>
                <w:rFonts w:ascii="Aptos" w:hAnsi="Aptos"/>
                <w:b/>
                <w:color w:val="FFFFFF"/>
                <w:sz w:val="34"/>
              </w:rPr>
              <w:t>−14,1</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00078C24"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wysokie ryzyko strategiczne</w:t>
            </w:r>
          </w:p>
          <w:p w14:paraId="3C97FF1F" w14:textId="77777777" w:rsidR="003357E9" w:rsidRPr="00BA4F7F" w:rsidRDefault="00000000">
            <w:pPr>
              <w:spacing w:before="60" w:after="0"/>
            </w:pPr>
            <w:r w:rsidRPr="00BA4F7F">
              <w:rPr>
                <w:b/>
                <w:color w:val="666666"/>
                <w:sz w:val="14"/>
              </w:rPr>
              <w:t>STATUS OSTRZEGAWCZY 2025</w:t>
            </w:r>
            <w:r w:rsidRPr="00BA4F7F">
              <w:rPr>
                <w:b/>
                <w:color w:val="666666"/>
                <w:sz w:val="14"/>
              </w:rPr>
              <w:br/>
            </w:r>
            <w:r w:rsidRPr="00BA4F7F">
              <w:rPr>
                <w:b/>
                <w:color w:val="C76B1C"/>
                <w:sz w:val="16"/>
              </w:rPr>
              <w:t>WYSOKIE RYZYKO</w:t>
            </w:r>
            <w:r w:rsidRPr="00BA4F7F">
              <w:rPr>
                <w:b/>
                <w:color w:val="C76B1C"/>
                <w:sz w:val="16"/>
              </w:rPr>
              <w:br/>
              <w:t>SYGNAŁ TRWAŁEJ SŁABOŚCI</w:t>
            </w:r>
          </w:p>
        </w:tc>
      </w:tr>
    </w:tbl>
    <w:p w14:paraId="116AC697" w14:textId="77777777" w:rsidR="00537CA0" w:rsidRPr="00BA4F7F" w:rsidRDefault="00000000">
      <w:pPr>
        <w:keepLines/>
        <w:spacing w:before="20" w:after="30"/>
        <w:jc w:val="center"/>
      </w:pPr>
      <w:r w:rsidRPr="00BA4F7F">
        <w:rPr>
          <w:noProof/>
        </w:rPr>
        <w:drawing>
          <wp:inline distT="0" distB="0" distL="0" distR="0" wp14:anchorId="2A9840EE" wp14:editId="2DFFAC19">
            <wp:extent cx="5688000" cy="1119183"/>
            <wp:effectExtent l="0" t="0" r="0" b="0"/>
            <wp:docPr id="1690576332" name="Picture 169057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12.png"/>
                    <pic:cNvPicPr/>
                  </pic:nvPicPr>
                  <pic:blipFill>
                    <a:blip r:embed="rId36"/>
                    <a:stretch>
                      <a:fillRect/>
                    </a:stretch>
                  </pic:blipFill>
                  <pic:spPr>
                    <a:xfrm>
                      <a:off x="0" y="0"/>
                      <a:ext cx="5688000" cy="1119183"/>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3969"/>
        <w:gridCol w:w="2154"/>
        <w:gridCol w:w="1531"/>
        <w:gridCol w:w="1361"/>
      </w:tblGrid>
      <w:tr w:rsidR="00537CA0" w:rsidRPr="00BA4F7F" w14:paraId="0C37BE0F" w14:textId="77777777">
        <w:trPr>
          <w:cantSplit/>
          <w:tblHeader/>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4851476D" w14:textId="77777777" w:rsidR="00537CA0" w:rsidRPr="00BA4F7F" w:rsidRDefault="00000000">
            <w:pPr>
              <w:spacing w:after="0"/>
              <w:jc w:val="center"/>
            </w:pPr>
            <w:r w:rsidRPr="00BA4F7F">
              <w:rPr>
                <w:rFonts w:ascii="Aptos" w:hAnsi="Aptos"/>
                <w:b/>
                <w:color w:val="FFFFFF"/>
                <w:sz w:val="14"/>
              </w:rPr>
              <w:t>Składnik modelu</w:t>
            </w:r>
          </w:p>
        </w:tc>
        <w:tc>
          <w:tcPr>
            <w:tcW w:w="2154"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712DFFC1" w14:textId="77777777" w:rsidR="00537CA0" w:rsidRPr="00BA4F7F" w:rsidRDefault="00000000">
            <w:pPr>
              <w:spacing w:after="0"/>
              <w:jc w:val="center"/>
            </w:pPr>
            <w:r w:rsidRPr="00BA4F7F">
              <w:rPr>
                <w:rFonts w:ascii="Aptos" w:hAnsi="Aptos"/>
                <w:b/>
                <w:color w:val="FFFFFF"/>
                <w:sz w:val="14"/>
              </w:rPr>
              <w:t>Wartość / ocena 2025</w:t>
            </w:r>
          </w:p>
        </w:tc>
        <w:tc>
          <w:tcPr>
            <w:tcW w:w="153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0CB9832E" w14:textId="77777777" w:rsidR="00537CA0" w:rsidRPr="00BA4F7F" w:rsidRDefault="00000000">
            <w:pPr>
              <w:spacing w:after="0"/>
              <w:jc w:val="center"/>
            </w:pPr>
            <w:r w:rsidRPr="00BA4F7F">
              <w:rPr>
                <w:rFonts w:ascii="Aptos" w:hAnsi="Aptos"/>
                <w:b/>
                <w:color w:val="FFFFFF"/>
                <w:sz w:val="14"/>
              </w:rPr>
              <w:t>Punkty IRS</w:t>
            </w:r>
          </w:p>
        </w:tc>
        <w:tc>
          <w:tcPr>
            <w:tcW w:w="136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43EA3D20" w14:textId="77777777" w:rsidR="00537CA0" w:rsidRPr="00BA4F7F" w:rsidRDefault="00000000">
            <w:pPr>
              <w:spacing w:after="0"/>
              <w:jc w:val="center"/>
            </w:pPr>
            <w:r w:rsidRPr="00BA4F7F">
              <w:rPr>
                <w:rFonts w:ascii="Aptos" w:hAnsi="Aptos"/>
                <w:b/>
                <w:color w:val="FFFFFF"/>
                <w:sz w:val="14"/>
              </w:rPr>
              <w:t>Waga</w:t>
            </w:r>
          </w:p>
        </w:tc>
      </w:tr>
      <w:tr w:rsidR="00537CA0" w:rsidRPr="00BA4F7F" w14:paraId="450C40A9"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5182F939" w14:textId="77777777" w:rsidR="00537CA0" w:rsidRPr="00BA4F7F" w:rsidRDefault="00000000">
            <w:pPr>
              <w:spacing w:after="0" w:line="228" w:lineRule="auto"/>
              <w:jc w:val="left"/>
            </w:pPr>
            <w:r w:rsidRPr="00BA4F7F">
              <w:rPr>
                <w:rFonts w:ascii="Aptos" w:hAnsi="Aptos"/>
                <w:b/>
                <w:color w:val="222222"/>
                <w:sz w:val="14"/>
              </w:rPr>
              <w:t>Zaufanie uogólnione</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289FED41" w14:textId="77777777" w:rsidR="00537CA0" w:rsidRPr="00BA4F7F" w:rsidRDefault="00000000">
            <w:pPr>
              <w:spacing w:after="0" w:line="228" w:lineRule="auto"/>
              <w:jc w:val="center"/>
            </w:pPr>
            <w:r w:rsidRPr="00BA4F7F">
              <w:rPr>
                <w:rFonts w:ascii="Aptos" w:hAnsi="Aptos"/>
                <w:color w:val="222222"/>
                <w:sz w:val="14"/>
              </w:rPr>
              <w:t>24%</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A5D9F85" w14:textId="77777777" w:rsidR="00537CA0" w:rsidRPr="00BA4F7F" w:rsidRDefault="00000000">
            <w:pPr>
              <w:spacing w:after="0" w:line="228" w:lineRule="auto"/>
              <w:jc w:val="center"/>
            </w:pPr>
            <w:r w:rsidRPr="00BA4F7F">
              <w:rPr>
                <w:rFonts w:ascii="Aptos" w:hAnsi="Aptos"/>
                <w:color w:val="222222"/>
                <w:sz w:val="14"/>
              </w:rPr>
              <w:t>41,0</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4BD810B" w14:textId="77777777" w:rsidR="00537CA0" w:rsidRPr="00BA4F7F" w:rsidRDefault="00000000">
            <w:pPr>
              <w:spacing w:after="0" w:line="228" w:lineRule="auto"/>
              <w:jc w:val="center"/>
            </w:pPr>
            <w:r w:rsidRPr="00BA4F7F">
              <w:rPr>
                <w:rFonts w:ascii="Aptos" w:hAnsi="Aptos"/>
                <w:color w:val="222222"/>
                <w:sz w:val="14"/>
              </w:rPr>
              <w:t>30%</w:t>
            </w:r>
          </w:p>
        </w:tc>
      </w:tr>
      <w:tr w:rsidR="00537CA0" w:rsidRPr="00BA4F7F" w14:paraId="7AAF4298"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219800B" w14:textId="77777777" w:rsidR="00537CA0" w:rsidRPr="00BA4F7F" w:rsidRDefault="00000000">
            <w:pPr>
              <w:spacing w:after="0" w:line="228" w:lineRule="auto"/>
              <w:jc w:val="left"/>
            </w:pPr>
            <w:r w:rsidRPr="00BA4F7F">
              <w:rPr>
                <w:rFonts w:ascii="Aptos" w:hAnsi="Aptos"/>
                <w:b/>
                <w:color w:val="222222"/>
                <w:sz w:val="14"/>
              </w:rPr>
              <w:t>Poczucie wpływu lokalnego</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2751E802" w14:textId="77777777" w:rsidR="00537CA0" w:rsidRPr="00BA4F7F" w:rsidRDefault="00000000">
            <w:pPr>
              <w:spacing w:after="0" w:line="228" w:lineRule="auto"/>
              <w:jc w:val="center"/>
            </w:pPr>
            <w:r w:rsidRPr="00BA4F7F">
              <w:rPr>
                <w:rFonts w:ascii="Aptos" w:hAnsi="Aptos"/>
                <w:color w:val="222222"/>
                <w:sz w:val="14"/>
              </w:rPr>
              <w:t>59%</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C3E6F8C" w14:textId="77777777" w:rsidR="00537CA0" w:rsidRPr="00BA4F7F" w:rsidRDefault="00000000">
            <w:pPr>
              <w:spacing w:after="0" w:line="228" w:lineRule="auto"/>
              <w:jc w:val="center"/>
            </w:pPr>
            <w:r w:rsidRPr="00BA4F7F">
              <w:rPr>
                <w:rFonts w:ascii="Aptos" w:hAnsi="Aptos"/>
                <w:color w:val="222222"/>
                <w:sz w:val="14"/>
              </w:rPr>
              <w:t>59,0</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5249F7AB" w14:textId="77777777" w:rsidR="00537CA0" w:rsidRPr="00BA4F7F" w:rsidRDefault="00000000">
            <w:pPr>
              <w:spacing w:after="0" w:line="228" w:lineRule="auto"/>
              <w:jc w:val="center"/>
            </w:pPr>
            <w:r w:rsidRPr="00BA4F7F">
              <w:rPr>
                <w:rFonts w:ascii="Aptos" w:hAnsi="Aptos"/>
                <w:color w:val="222222"/>
                <w:sz w:val="14"/>
              </w:rPr>
              <w:t>30%</w:t>
            </w:r>
          </w:p>
        </w:tc>
      </w:tr>
      <w:tr w:rsidR="00537CA0" w:rsidRPr="00BA4F7F" w14:paraId="0A5C35B9"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09ABB81" w14:textId="77777777" w:rsidR="00537CA0" w:rsidRPr="00BA4F7F" w:rsidRDefault="00000000">
            <w:pPr>
              <w:spacing w:after="0" w:line="228" w:lineRule="auto"/>
              <w:jc w:val="left"/>
            </w:pPr>
            <w:r w:rsidRPr="00BA4F7F">
              <w:rPr>
                <w:rFonts w:ascii="Aptos" w:hAnsi="Aptos"/>
                <w:b/>
                <w:color w:val="222222"/>
                <w:sz w:val="14"/>
              </w:rPr>
              <w:t>Cudzoziemcy podejrzani</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B180820" w14:textId="77777777" w:rsidR="00537CA0" w:rsidRPr="00BA4F7F" w:rsidRDefault="00000000">
            <w:pPr>
              <w:spacing w:after="0" w:line="228" w:lineRule="auto"/>
              <w:jc w:val="center"/>
            </w:pPr>
            <w:r w:rsidRPr="00BA4F7F">
              <w:rPr>
                <w:rFonts w:ascii="Aptos" w:hAnsi="Aptos"/>
                <w:color w:val="222222"/>
                <w:sz w:val="14"/>
              </w:rPr>
              <w:t>17 504 osoby</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23FC794F" w14:textId="77777777" w:rsidR="00537CA0" w:rsidRPr="00BA4F7F" w:rsidRDefault="00000000">
            <w:pPr>
              <w:spacing w:after="0" w:line="228" w:lineRule="auto"/>
              <w:jc w:val="center"/>
            </w:pPr>
            <w:r w:rsidRPr="00BA4F7F">
              <w:rPr>
                <w:rFonts w:ascii="Aptos" w:hAnsi="Aptos"/>
                <w:color w:val="222222"/>
                <w:sz w:val="14"/>
              </w:rPr>
              <w:t>20,0</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27C6A2B1" w14:textId="77777777" w:rsidR="00537CA0" w:rsidRPr="00BA4F7F" w:rsidRDefault="00000000">
            <w:pPr>
              <w:spacing w:after="0" w:line="228" w:lineRule="auto"/>
              <w:jc w:val="center"/>
            </w:pPr>
            <w:r w:rsidRPr="00BA4F7F">
              <w:rPr>
                <w:rFonts w:ascii="Aptos" w:hAnsi="Aptos"/>
                <w:color w:val="222222"/>
                <w:sz w:val="14"/>
              </w:rPr>
              <w:t>40%</w:t>
            </w:r>
          </w:p>
        </w:tc>
      </w:tr>
    </w:tbl>
    <w:p w14:paraId="0E85B062" w14:textId="77777777" w:rsidR="00537CA0" w:rsidRPr="00BA4F7F" w:rsidRDefault="00537CA0">
      <w:pPr>
        <w:spacing w:after="20"/>
      </w:pPr>
    </w:p>
    <w:p w14:paraId="39CC5F97" w14:textId="77777777" w:rsidR="00537CA0" w:rsidRPr="00BA4F7F" w:rsidRDefault="00000000">
      <w:pPr>
        <w:keepLines/>
        <w:spacing w:after="30" w:line="240" w:lineRule="auto"/>
      </w:pPr>
      <w:r w:rsidRPr="00BA4F7F">
        <w:rPr>
          <w:b/>
          <w:color w:val="1F4E79"/>
          <w:sz w:val="16"/>
        </w:rPr>
        <w:t xml:space="preserve">Funkcja w IRS i sposób liczenia. </w:t>
      </w:r>
      <w:proofErr w:type="spellStart"/>
      <w:r w:rsidRPr="00BA4F7F">
        <w:rPr>
          <w:color w:val="222222"/>
          <w:sz w:val="16"/>
        </w:rPr>
        <w:t>Subobszar</w:t>
      </w:r>
      <w:proofErr w:type="spellEnd"/>
      <w:r w:rsidRPr="00BA4F7F">
        <w:rPr>
          <w:color w:val="222222"/>
          <w:sz w:val="16"/>
        </w:rPr>
        <w:t xml:space="preserve"> mierzy zdolność społeczeństwa do współpracy poza relacjami prywatnymi: zaufanie uogólnione, poczucie wpływu, integrację oraz obciążenia instytucji związane z napięciami społecznymi. Wartości badawcze są przenoszone do kolejnych lat do czasu nowej obserwacji, bez interpolowania przyszłymi danymi. Liczba cudzoziemców podejrzanych o przestępstwo opisuje obciążenie instytucji, a nie skłonność całych grup.</w:t>
      </w:r>
    </w:p>
    <w:p w14:paraId="707C0256" w14:textId="77777777" w:rsidR="00537CA0" w:rsidRPr="00BA4F7F" w:rsidRDefault="00000000">
      <w:pPr>
        <w:keepLines/>
        <w:spacing w:after="30" w:line="240" w:lineRule="auto"/>
      </w:pPr>
      <w:r w:rsidRPr="00BA4F7F">
        <w:rPr>
          <w:b/>
          <w:color w:val="1F4E79"/>
          <w:sz w:val="16"/>
        </w:rPr>
        <w:t xml:space="preserve">Diagnoza i kontekst 2020–2025. </w:t>
      </w:r>
      <w:r w:rsidRPr="00BA4F7F">
        <w:rPr>
          <w:color w:val="222222"/>
          <w:sz w:val="16"/>
        </w:rPr>
        <w:t>Wynik spada z 52,1 pkt w 2020 r. do 45,0 pkt w 2021 r. i 34,5 pkt w 2022 r., następnie częściowo odbudowuje się do 40,3 pkt w 2024 r., lecz w 2025 r. ponownie obniża się do 38,0 pkt. Zaufanie uogólnione wynosi 24%, a 59% badanych deklaruje wpływ na sprawy lokalne. Pierwsze miesiące po agresji Rosji na Ukrainę pokazały niezwykle wysoką zdolność obywateli, samorządów, parafii i organizacji do pomocy uchodźcom. Nie przekształciła się ona jednak automatycznie w trwałe zaufanie codzienne, a długotrwała polaryzacja i spory o migrację zwiększały koszty współpracy.</w:t>
      </w:r>
    </w:p>
    <w:p w14:paraId="60729F51" w14:textId="77777777" w:rsidR="00537CA0" w:rsidRPr="00BA4F7F" w:rsidRDefault="00000000">
      <w:pPr>
        <w:keepLines/>
        <w:spacing w:after="30" w:line="240" w:lineRule="auto"/>
      </w:pPr>
      <w:r w:rsidRPr="00BA4F7F">
        <w:rPr>
          <w:b/>
          <w:color w:val="1F4E79"/>
          <w:sz w:val="16"/>
        </w:rPr>
        <w:t xml:space="preserve">Znaczenie dla racji stanu. </w:t>
      </w:r>
      <w:r w:rsidRPr="00BA4F7F">
        <w:rPr>
          <w:color w:val="222222"/>
          <w:sz w:val="16"/>
        </w:rPr>
        <w:t>Kapitał społeczny obniża koszt egzekucji i koordynacji. Ułatwia mobilizację obronną, przestrzeganie zaleceń w kryzysie, integrację migrantów i akceptację reform. Gdy jest niski, państwo częściej zastępuje dobrowolną współpracę kontrolą, transferem lub presją polityczną, co zwiększa koszty każdej polityki.</w:t>
      </w:r>
    </w:p>
    <w:p w14:paraId="2856CCDB" w14:textId="77777777" w:rsidR="00537CA0" w:rsidRPr="00BA4F7F" w:rsidRDefault="00000000">
      <w:pPr>
        <w:keepLines/>
        <w:spacing w:after="80" w:line="250" w:lineRule="auto"/>
      </w:pPr>
      <w:r w:rsidRPr="00BA4F7F">
        <w:rPr>
          <w:color w:val="222222"/>
          <w:sz w:val="18"/>
        </w:rPr>
        <w:t>Wniosek. Solidarność kryzysowa i zaufanie uogólnione są różnymi zasobami. Społeczeństwo może wykazywać imponującą mobilizację wobec czytelnego zagrożenia, a jednocześnie mieć trudność z rutynową współpracą, kompromisem i akceptacją procedur. Polska posiada kapitał mobilizacyjny silniejszy niż kapitał codziennej kooperacji.</w:t>
      </w:r>
    </w:p>
    <w:tbl>
      <w:tblPr>
        <w:tblW w:w="0" w:type="auto"/>
        <w:jc w:val="center"/>
        <w:tblLayout w:type="fixed"/>
        <w:tblLook w:val="04A0" w:firstRow="1" w:lastRow="0" w:firstColumn="1" w:lastColumn="0" w:noHBand="0" w:noVBand="1"/>
      </w:tblPr>
      <w:tblGrid>
        <w:gridCol w:w="1474"/>
        <w:gridCol w:w="7540"/>
      </w:tblGrid>
      <w:tr w:rsidR="00537CA0" w:rsidRPr="00BA4F7F" w14:paraId="3834BEFE"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24FDACA6"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32D533E6" w14:textId="77777777" w:rsidR="00537CA0" w:rsidRPr="00BA4F7F" w:rsidRDefault="00000000">
            <w:pPr>
              <w:spacing w:after="0" w:line="240" w:lineRule="auto"/>
              <w:jc w:val="left"/>
            </w:pPr>
            <w:r w:rsidRPr="00BA4F7F">
              <w:rPr>
                <w:color w:val="222222"/>
                <w:sz w:val="15"/>
              </w:rPr>
              <w:t>Wzmacnianie instytucji pośrednich i lokalnych sieci współpracy, przejrzyste reguły integracji, konsekwentne egzekwowanie prawa oraz realny udział obywateli w decyzjach dotyczących wspólnoty.</w:t>
            </w:r>
          </w:p>
        </w:tc>
      </w:tr>
      <w:tr w:rsidR="00537CA0" w:rsidRPr="00BA4F7F" w14:paraId="717528D5"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5A8FF834"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6031CC3D" w14:textId="77777777" w:rsidR="00537CA0" w:rsidRPr="00BA4F7F" w:rsidRDefault="00000000">
            <w:pPr>
              <w:spacing w:after="0" w:line="240" w:lineRule="auto"/>
              <w:jc w:val="left"/>
            </w:pPr>
            <w:r w:rsidRPr="00BA4F7F">
              <w:rPr>
                <w:color w:val="222222"/>
                <w:sz w:val="15"/>
              </w:rPr>
              <w:t xml:space="preserve">Wieloletni wzrost zaufania i uczestnictwa, większa aktywność organizacyjna i </w:t>
            </w:r>
            <w:proofErr w:type="spellStart"/>
            <w:r w:rsidRPr="00BA4F7F">
              <w:rPr>
                <w:color w:val="222222"/>
                <w:sz w:val="15"/>
              </w:rPr>
              <w:t>wolontariacka</w:t>
            </w:r>
            <w:proofErr w:type="spellEnd"/>
            <w:r w:rsidRPr="00BA4F7F">
              <w:rPr>
                <w:color w:val="222222"/>
                <w:sz w:val="15"/>
              </w:rPr>
              <w:t xml:space="preserve"> oraz potwierdzona w ćwiczeniach zdolność administracji, samorządów i organizacji do wspólnego działania.</w:t>
            </w:r>
          </w:p>
        </w:tc>
      </w:tr>
    </w:tbl>
    <w:p w14:paraId="36AC6A11" w14:textId="77777777" w:rsidR="00537CA0" w:rsidRPr="00BA4F7F" w:rsidRDefault="00000000">
      <w:pPr>
        <w:spacing w:after="0"/>
      </w:pPr>
      <w:r w:rsidRPr="00BA4F7F">
        <w:br w:type="page"/>
      </w:r>
    </w:p>
    <w:p w14:paraId="0F6DDD3A" w14:textId="77777777" w:rsidR="00537CA0" w:rsidRPr="00BA4F7F" w:rsidRDefault="00000000">
      <w:pPr>
        <w:pStyle w:val="Nagwek2"/>
        <w:spacing w:before="0" w:after="60"/>
      </w:pPr>
      <w:r w:rsidRPr="00BA4F7F">
        <w:rPr>
          <w:rFonts w:ascii="Aptos Display" w:hAnsi="Aptos Display"/>
          <w:sz w:val="30"/>
        </w:rPr>
        <w:lastRenderedPageBreak/>
        <w:t>14A.13. Energetyka</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196F30D5"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04CCC5C0" w14:textId="77777777" w:rsidR="00537CA0" w:rsidRPr="00BA4F7F" w:rsidRDefault="00000000">
            <w:pPr>
              <w:spacing w:after="0" w:line="240" w:lineRule="auto"/>
              <w:jc w:val="left"/>
            </w:pPr>
            <w:r>
              <w:rPr>
                <w:rFonts w:ascii="Aptos" w:hAnsi="Aptos"/>
                <w:b/>
                <w:color w:val="FFFFFF"/>
                <w:sz w:val="14"/>
              </w:rPr>
              <w:t>WYNIK 2025 69,5</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3ECB1BC2" w14:textId="77777777" w:rsidR="00537CA0" w:rsidRPr="00BA4F7F" w:rsidRDefault="00000000">
            <w:pPr>
              <w:spacing w:after="0" w:line="240" w:lineRule="auto"/>
              <w:jc w:val="left"/>
            </w:pPr>
            <w:r>
              <w:rPr>
                <w:rFonts w:ascii="Aptos" w:hAnsi="Aptos"/>
                <w:b/>
                <w:color w:val="FFFFFF"/>
                <w:sz w:val="14"/>
              </w:rPr>
              <w:t>ZMIANA 2020–2025 −0,9</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10F4C67C"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umiarkowanie dobra odporność</w:t>
            </w:r>
          </w:p>
        </w:tc>
      </w:tr>
    </w:tbl>
    <w:p w14:paraId="59B10E2E" w14:textId="77777777" w:rsidR="00537CA0" w:rsidRPr="00BA4F7F" w:rsidRDefault="00000000">
      <w:pPr>
        <w:keepLines/>
        <w:spacing w:before="20" w:after="30"/>
        <w:jc w:val="center"/>
      </w:pPr>
      <w:r w:rsidRPr="00BA4F7F">
        <w:rPr>
          <w:noProof/>
        </w:rPr>
        <w:drawing>
          <wp:inline distT="0" distB="0" distL="0" distR="0" wp14:anchorId="447A196B" wp14:editId="1B2DEBA6">
            <wp:extent cx="5688000" cy="1119880"/>
            <wp:effectExtent l="0" t="0" r="0" b="0"/>
            <wp:docPr id="1690576333" name="Picture 1690576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13.png"/>
                    <pic:cNvPicPr/>
                  </pic:nvPicPr>
                  <pic:blipFill>
                    <a:blip r:embed="rId37"/>
                    <a:stretch>
                      <a:fillRect/>
                    </a:stretch>
                  </pic:blipFill>
                  <pic:spPr>
                    <a:xfrm>
                      <a:off x="0" y="0"/>
                      <a:ext cx="5688000" cy="1119880"/>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3969"/>
        <w:gridCol w:w="2154"/>
        <w:gridCol w:w="1531"/>
        <w:gridCol w:w="1361"/>
      </w:tblGrid>
      <w:tr w:rsidR="00537CA0" w:rsidRPr="00BA4F7F" w14:paraId="15740F77" w14:textId="77777777">
        <w:trPr>
          <w:cantSplit/>
          <w:tblHeader/>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7879DA64" w14:textId="77777777" w:rsidR="00537CA0" w:rsidRPr="00BA4F7F" w:rsidRDefault="00000000">
            <w:pPr>
              <w:spacing w:after="0"/>
              <w:jc w:val="center"/>
            </w:pPr>
            <w:r w:rsidRPr="00BA4F7F">
              <w:rPr>
                <w:rFonts w:ascii="Aptos" w:hAnsi="Aptos"/>
                <w:b/>
                <w:color w:val="FFFFFF"/>
                <w:sz w:val="14"/>
              </w:rPr>
              <w:t>Składnik modelu</w:t>
            </w:r>
          </w:p>
        </w:tc>
        <w:tc>
          <w:tcPr>
            <w:tcW w:w="2154"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75BC2CCE" w14:textId="77777777" w:rsidR="00537CA0" w:rsidRPr="00BA4F7F" w:rsidRDefault="00000000">
            <w:pPr>
              <w:spacing w:after="0"/>
              <w:jc w:val="center"/>
            </w:pPr>
            <w:r w:rsidRPr="00BA4F7F">
              <w:rPr>
                <w:rFonts w:ascii="Aptos" w:hAnsi="Aptos"/>
                <w:b/>
                <w:color w:val="FFFFFF"/>
                <w:sz w:val="14"/>
              </w:rPr>
              <w:t>Wartość / ocena 2025</w:t>
            </w:r>
          </w:p>
        </w:tc>
        <w:tc>
          <w:tcPr>
            <w:tcW w:w="153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4F0FCC0D" w14:textId="77777777" w:rsidR="00537CA0" w:rsidRPr="00BA4F7F" w:rsidRDefault="00000000">
            <w:pPr>
              <w:spacing w:after="0"/>
              <w:jc w:val="center"/>
            </w:pPr>
            <w:r w:rsidRPr="00BA4F7F">
              <w:rPr>
                <w:rFonts w:ascii="Aptos" w:hAnsi="Aptos"/>
                <w:b/>
                <w:color w:val="FFFFFF"/>
                <w:sz w:val="14"/>
              </w:rPr>
              <w:t>Punkty IRS</w:t>
            </w:r>
          </w:p>
        </w:tc>
        <w:tc>
          <w:tcPr>
            <w:tcW w:w="136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2C13FA3F" w14:textId="77777777" w:rsidR="00537CA0" w:rsidRPr="00BA4F7F" w:rsidRDefault="00000000">
            <w:pPr>
              <w:spacing w:after="0"/>
              <w:jc w:val="center"/>
            </w:pPr>
            <w:r w:rsidRPr="00BA4F7F">
              <w:rPr>
                <w:rFonts w:ascii="Aptos" w:hAnsi="Aptos"/>
                <w:b/>
                <w:color w:val="FFFFFF"/>
                <w:sz w:val="14"/>
              </w:rPr>
              <w:t>Waga</w:t>
            </w:r>
          </w:p>
        </w:tc>
      </w:tr>
      <w:tr w:rsidR="00537CA0" w:rsidRPr="00BA4F7F" w14:paraId="30AAE2C3"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20821423" w14:textId="77777777" w:rsidR="00537CA0" w:rsidRPr="00BA4F7F" w:rsidRDefault="00000000">
            <w:pPr>
              <w:spacing w:after="0" w:line="228" w:lineRule="auto"/>
              <w:jc w:val="left"/>
            </w:pPr>
            <w:r w:rsidRPr="00BA4F7F">
              <w:rPr>
                <w:rFonts w:ascii="Aptos" w:hAnsi="Aptos"/>
                <w:b/>
                <w:color w:val="222222"/>
                <w:sz w:val="14"/>
              </w:rPr>
              <w:t>K1 – efekt strategiczny</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94B3644" w14:textId="77777777" w:rsidR="00537CA0" w:rsidRPr="00BA4F7F" w:rsidRDefault="00000000">
            <w:pPr>
              <w:spacing w:after="0" w:line="228" w:lineRule="auto"/>
              <w:jc w:val="center"/>
            </w:pPr>
            <w:r>
              <w:rPr>
                <w:rFonts w:ascii="Aptos" w:hAnsi="Aptos"/>
                <w:color w:val="222222"/>
                <w:sz w:val="14"/>
              </w:rPr>
              <w:t>90,0 pkt</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56DA759" w14:textId="77777777" w:rsidR="00537CA0" w:rsidRPr="00BA4F7F" w:rsidRDefault="00000000">
            <w:pPr>
              <w:spacing w:after="0" w:line="228" w:lineRule="auto"/>
              <w:jc w:val="center"/>
            </w:pPr>
            <w:r>
              <w:rPr>
                <w:rFonts w:ascii="Aptos" w:hAnsi="Aptos"/>
                <w:color w:val="222222"/>
                <w:sz w:val="14"/>
              </w:rPr>
              <w:t>90,0</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2AB9B03D" w14:textId="77777777" w:rsidR="00537CA0" w:rsidRPr="00BA4F7F" w:rsidRDefault="00000000">
            <w:pPr>
              <w:spacing w:after="0" w:line="228" w:lineRule="auto"/>
              <w:jc w:val="center"/>
            </w:pPr>
            <w:r w:rsidRPr="00BA4F7F">
              <w:rPr>
                <w:rFonts w:ascii="Aptos" w:hAnsi="Aptos"/>
                <w:color w:val="222222"/>
                <w:sz w:val="14"/>
              </w:rPr>
              <w:t>25% kryterium</w:t>
            </w:r>
          </w:p>
        </w:tc>
      </w:tr>
      <w:tr w:rsidR="00537CA0" w:rsidRPr="00BA4F7F" w14:paraId="4A77170A"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26CA1B13" w14:textId="77777777" w:rsidR="00537CA0" w:rsidRPr="00BA4F7F" w:rsidRDefault="00000000">
            <w:pPr>
              <w:spacing w:after="0" w:line="228" w:lineRule="auto"/>
              <w:jc w:val="left"/>
            </w:pPr>
            <w:r w:rsidRPr="00BA4F7F">
              <w:rPr>
                <w:rFonts w:ascii="Aptos" w:hAnsi="Aptos"/>
                <w:b/>
                <w:color w:val="222222"/>
                <w:sz w:val="14"/>
              </w:rPr>
              <w:t>K2 – harmonogram</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327D5F47" w14:textId="77777777" w:rsidR="00537CA0" w:rsidRPr="00BA4F7F" w:rsidRDefault="00000000">
            <w:pPr>
              <w:spacing w:after="0" w:line="228" w:lineRule="auto"/>
              <w:jc w:val="center"/>
            </w:pPr>
            <w:r>
              <w:rPr>
                <w:rFonts w:ascii="Aptos" w:hAnsi="Aptos"/>
                <w:color w:val="222222"/>
                <w:sz w:val="14"/>
              </w:rPr>
              <w:t>59,0 pkt</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EBCE330" w14:textId="77777777" w:rsidR="00537CA0" w:rsidRPr="00BA4F7F" w:rsidRDefault="00000000">
            <w:pPr>
              <w:spacing w:after="0" w:line="228" w:lineRule="auto"/>
              <w:jc w:val="center"/>
            </w:pPr>
            <w:r>
              <w:rPr>
                <w:rFonts w:ascii="Aptos" w:hAnsi="Aptos"/>
                <w:color w:val="222222"/>
                <w:sz w:val="14"/>
              </w:rPr>
              <w:t>59,0</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7F646B58" w14:textId="77777777" w:rsidR="00537CA0" w:rsidRPr="00BA4F7F" w:rsidRDefault="00000000">
            <w:pPr>
              <w:spacing w:after="0" w:line="228" w:lineRule="auto"/>
              <w:jc w:val="center"/>
            </w:pPr>
            <w:r w:rsidRPr="00BA4F7F">
              <w:rPr>
                <w:rFonts w:ascii="Aptos" w:hAnsi="Aptos"/>
                <w:color w:val="222222"/>
                <w:sz w:val="14"/>
              </w:rPr>
              <w:t>25% kryterium</w:t>
            </w:r>
          </w:p>
        </w:tc>
      </w:tr>
      <w:tr w:rsidR="00537CA0" w:rsidRPr="00BA4F7F" w14:paraId="6A92C1EA"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55BBAF13" w14:textId="77777777" w:rsidR="00537CA0" w:rsidRPr="00BA4F7F" w:rsidRDefault="00000000">
            <w:pPr>
              <w:spacing w:after="0" w:line="228" w:lineRule="auto"/>
              <w:jc w:val="left"/>
            </w:pPr>
            <w:r>
              <w:rPr>
                <w:rFonts w:ascii="Aptos" w:hAnsi="Aptos"/>
                <w:b/>
                <w:color w:val="222222"/>
                <w:sz w:val="14"/>
              </w:rPr>
              <w:t>K3 – zakres</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C3860F1" w14:textId="77777777" w:rsidR="00537CA0" w:rsidRPr="00BA4F7F" w:rsidRDefault="00000000">
            <w:pPr>
              <w:spacing w:after="0" w:line="228" w:lineRule="auto"/>
              <w:jc w:val="center"/>
            </w:pPr>
            <w:r>
              <w:rPr>
                <w:rFonts w:ascii="Aptos" w:hAnsi="Aptos"/>
                <w:color w:val="222222"/>
                <w:sz w:val="14"/>
              </w:rPr>
              <w:t>69,5 pkt</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9EBCCC0" w14:textId="77777777" w:rsidR="00537CA0" w:rsidRPr="00BA4F7F" w:rsidRDefault="00000000">
            <w:pPr>
              <w:spacing w:after="0" w:line="228" w:lineRule="auto"/>
              <w:jc w:val="center"/>
            </w:pPr>
            <w:r>
              <w:rPr>
                <w:rFonts w:ascii="Aptos" w:hAnsi="Aptos"/>
                <w:color w:val="222222"/>
                <w:sz w:val="14"/>
              </w:rPr>
              <w:t>69,5</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261ABB5E" w14:textId="77777777" w:rsidR="00537CA0" w:rsidRPr="00BA4F7F" w:rsidRDefault="00000000">
            <w:pPr>
              <w:spacing w:after="0" w:line="228" w:lineRule="auto"/>
              <w:jc w:val="center"/>
            </w:pPr>
            <w:r w:rsidRPr="00BA4F7F">
              <w:rPr>
                <w:rFonts w:ascii="Aptos" w:hAnsi="Aptos"/>
                <w:color w:val="222222"/>
                <w:sz w:val="14"/>
              </w:rPr>
              <w:t>25% kryterium</w:t>
            </w:r>
          </w:p>
        </w:tc>
      </w:tr>
      <w:tr w:rsidR="00537CA0" w:rsidRPr="00BA4F7F" w14:paraId="750EC986"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1B2613C3" w14:textId="77777777" w:rsidR="00537CA0" w:rsidRPr="00BA4F7F" w:rsidRDefault="00000000">
            <w:pPr>
              <w:spacing w:after="0" w:line="228" w:lineRule="auto"/>
              <w:jc w:val="left"/>
            </w:pPr>
            <w:r w:rsidRPr="00BA4F7F">
              <w:rPr>
                <w:rFonts w:ascii="Aptos" w:hAnsi="Aptos"/>
                <w:b/>
                <w:color w:val="222222"/>
                <w:sz w:val="14"/>
              </w:rPr>
              <w:t>K4 – zarządzanie</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1ED0ECF2" w14:textId="77777777" w:rsidR="00537CA0" w:rsidRPr="00BA4F7F" w:rsidRDefault="00000000">
            <w:pPr>
              <w:spacing w:after="0" w:line="228" w:lineRule="auto"/>
              <w:jc w:val="center"/>
            </w:pPr>
            <w:r>
              <w:rPr>
                <w:rFonts w:ascii="Aptos" w:hAnsi="Aptos"/>
                <w:color w:val="222222"/>
                <w:sz w:val="14"/>
              </w:rPr>
              <w:t>59,5 pkt</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501EAFDE" w14:textId="77777777" w:rsidR="00537CA0" w:rsidRPr="00BA4F7F" w:rsidRDefault="00000000">
            <w:pPr>
              <w:spacing w:after="0" w:line="228" w:lineRule="auto"/>
              <w:jc w:val="center"/>
            </w:pPr>
            <w:r>
              <w:rPr>
                <w:rFonts w:ascii="Aptos" w:hAnsi="Aptos"/>
                <w:color w:val="222222"/>
                <w:sz w:val="14"/>
              </w:rPr>
              <w:t>59,5</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444DBB14" w14:textId="77777777" w:rsidR="00537CA0" w:rsidRPr="00BA4F7F" w:rsidRDefault="00000000">
            <w:pPr>
              <w:spacing w:after="0" w:line="228" w:lineRule="auto"/>
              <w:jc w:val="center"/>
            </w:pPr>
            <w:r w:rsidRPr="00BA4F7F">
              <w:rPr>
                <w:rFonts w:ascii="Aptos" w:hAnsi="Aptos"/>
                <w:color w:val="222222"/>
                <w:sz w:val="14"/>
              </w:rPr>
              <w:t>25% kryterium</w:t>
            </w:r>
          </w:p>
        </w:tc>
      </w:tr>
    </w:tbl>
    <w:p w14:paraId="53562306" w14:textId="77777777" w:rsidR="00537CA0" w:rsidRPr="00BA4F7F" w:rsidRDefault="00537CA0">
      <w:pPr>
        <w:spacing w:after="20"/>
      </w:pPr>
    </w:p>
    <w:p w14:paraId="2A8A7512" w14:textId="77777777" w:rsidR="00537CA0" w:rsidRPr="00D9003E" w:rsidRDefault="00000000" w:rsidP="00D9003E">
      <w:pPr>
        <w:rPr>
          <w:sz w:val="16"/>
          <w:szCs w:val="18"/>
        </w:rPr>
      </w:pPr>
      <w:r w:rsidRPr="00D9003E">
        <w:rPr>
          <w:b/>
          <w:color w:val="1F4E79"/>
          <w:sz w:val="16"/>
          <w:szCs w:val="18"/>
        </w:rPr>
        <w:t xml:space="preserve">Funkcja w IRS i sposób liczenia. </w:t>
      </w:r>
      <w:r w:rsidRPr="00D9003E">
        <w:rPr>
          <w:sz w:val="16"/>
          <w:szCs w:val="18"/>
        </w:rPr>
        <w:t>Portfel energetyczny ocenia dziesięć projektów i rodzin zdolności według K1 efekt strategiczny, K2 harmonogram, K3 integralność zakresu i K4 zarządzanie. Projekty mają równe wagi, a wynik roczny jest średnią ocen kryterialnych. Model premiuje dostarczenie funkcji bezpieczeństwa, nie samą wartość nakładów lub deklarację rozpoczęcia.</w:t>
      </w:r>
    </w:p>
    <w:p w14:paraId="1CBA0FDA" w14:textId="77777777" w:rsidR="00537CA0" w:rsidRPr="00D9003E" w:rsidRDefault="00000000" w:rsidP="00D9003E">
      <w:pPr>
        <w:rPr>
          <w:bCs/>
          <w:sz w:val="16"/>
          <w:szCs w:val="18"/>
        </w:rPr>
      </w:pPr>
      <w:r w:rsidRPr="00D9003E">
        <w:rPr>
          <w:bCs/>
          <w:sz w:val="16"/>
          <w:szCs w:val="18"/>
        </w:rPr>
        <w:t xml:space="preserve">Diagnoza i kontekst 2020–2025. Wynik wynosił 70,4 pkt w 2020 r., wzrósł do 70,8 pkt w 2021 r. i około 74 pkt w latach 2022–2023, po czym obniżył się do 70,8 pkt w 2024 r. i 69,5 pkt w 2025 r. Terminal LNG i </w:t>
      </w:r>
      <w:proofErr w:type="spellStart"/>
      <w:r w:rsidRPr="00D9003E">
        <w:rPr>
          <w:bCs/>
          <w:sz w:val="16"/>
          <w:szCs w:val="18"/>
        </w:rPr>
        <w:t>Baltic</w:t>
      </w:r>
      <w:proofErr w:type="spellEnd"/>
      <w:r w:rsidRPr="00D9003E">
        <w:rPr>
          <w:bCs/>
          <w:sz w:val="16"/>
          <w:szCs w:val="18"/>
        </w:rPr>
        <w:t xml:space="preserve"> </w:t>
      </w:r>
      <w:proofErr w:type="spellStart"/>
      <w:r w:rsidRPr="00D9003E">
        <w:rPr>
          <w:bCs/>
          <w:sz w:val="16"/>
          <w:szCs w:val="18"/>
        </w:rPr>
        <w:t>Pipe</w:t>
      </w:r>
      <w:proofErr w:type="spellEnd"/>
      <w:r w:rsidRPr="00D9003E">
        <w:rPr>
          <w:bCs/>
          <w:sz w:val="16"/>
          <w:szCs w:val="18"/>
        </w:rPr>
        <w:t xml:space="preserve"> dostarczyły realną funkcję dywersyfikacyjną, której znaczenie ujawniło się po odcięciu dostaw rosyjskich i szoku cenowym 2022 r. Portfel przeszedł jednak z fazy relatywnie prostszej dywersyfikacji gazowej do trudniejszego zarządzania pełnym systemem: atomem, dwiema fazami </w:t>
      </w:r>
      <w:proofErr w:type="spellStart"/>
      <w:r w:rsidRPr="00D9003E">
        <w:rPr>
          <w:bCs/>
          <w:sz w:val="16"/>
          <w:szCs w:val="18"/>
        </w:rPr>
        <w:t>offshore</w:t>
      </w:r>
      <w:proofErr w:type="spellEnd"/>
      <w:r w:rsidRPr="00D9003E">
        <w:rPr>
          <w:bCs/>
          <w:sz w:val="16"/>
          <w:szCs w:val="18"/>
        </w:rPr>
        <w:t>, sieciami, elastycznością, szerokim portfelem CCGT/OCGT, magazynami gazu i dostępnością strategicznych zapasów paliw. Największą luką pozostaje różnica między bardzo wysokim K1 – 90,0 pkt – a harmonogramem 59,0 pkt i zarządzaniem 59,5 pkt.</w:t>
      </w:r>
    </w:p>
    <w:p w14:paraId="28FEEFA5" w14:textId="22200E04" w:rsidR="00537CA0" w:rsidRPr="00D9003E" w:rsidRDefault="00000000" w:rsidP="00D9003E">
      <w:pPr>
        <w:rPr>
          <w:bCs/>
          <w:sz w:val="16"/>
          <w:szCs w:val="18"/>
        </w:rPr>
      </w:pPr>
      <w:r w:rsidRPr="00D9003E">
        <w:rPr>
          <w:bCs/>
          <w:sz w:val="16"/>
          <w:szCs w:val="18"/>
        </w:rPr>
        <w:t>Znaczenie dla racji stanu. Energia warunkuje konkurencyjność przemysłu, zdolności obronne, cyfryzację i codzienne funkcjonowanie państwa. Ocena uwzględnia efekt strategiczny: bezpieczeństwo i dywersyfikację pomniejszone o koszty wsparcia, sieci, bilansowania, paliwa i utrzymania. Bez przepustowości sieci, rezerw, elastyczności i zdolności magazynowych nawet szybki przyrost mocy nie tworzy pełnego bezpieczeństwa. Z kolei koszt systemowy i taryfowy transformacji oddziałuje na finanse publiczne, przedsiębiorstwa, gospodarstwa domowe i akceptację społeczną.</w:t>
      </w:r>
    </w:p>
    <w:p w14:paraId="573C516D" w14:textId="77777777" w:rsidR="00537CA0" w:rsidRPr="00D9003E" w:rsidRDefault="00000000" w:rsidP="00D9003E">
      <w:pPr>
        <w:rPr>
          <w:sz w:val="18"/>
          <w:szCs w:val="20"/>
        </w:rPr>
      </w:pPr>
      <w:r w:rsidRPr="00D9003E">
        <w:rPr>
          <w:sz w:val="16"/>
          <w:szCs w:val="20"/>
        </w:rPr>
        <w:t>Wniosek. Polska zbudowała mocniejszą architekturę dywersyfikacji dostaw gazu, lecz nie domknęła jeszcze ekonomicznie i operacyjnie całego systemu energetycznego. Ryzyko przesuwa się z pytania „od kogo kupujemy surowiec” do pytań o termin dostarczenia mocy, koszt dla odbiorcy, zdolność sieci i magazynów, dostępność rezerw oraz możliwość uwolnienia strategicznych zapasów. Poprawa wyniku wymaga nie tylko zakończenia inwestycji, lecz potwierdzonej zdolności systemowej po konkurencyjnym koszcie.</w:t>
      </w:r>
    </w:p>
    <w:tbl>
      <w:tblPr>
        <w:tblW w:w="0" w:type="auto"/>
        <w:jc w:val="center"/>
        <w:tblLayout w:type="fixed"/>
        <w:tblLook w:val="04A0" w:firstRow="1" w:lastRow="0" w:firstColumn="1" w:lastColumn="0" w:noHBand="0" w:noVBand="1"/>
      </w:tblPr>
      <w:tblGrid>
        <w:gridCol w:w="1474"/>
        <w:gridCol w:w="7540"/>
      </w:tblGrid>
      <w:tr w:rsidR="00537CA0" w:rsidRPr="00BA4F7F" w14:paraId="258A33B8"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400C9D30"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3EF70511" w14:textId="77777777" w:rsidR="00537CA0" w:rsidRPr="00BA4F7F" w:rsidRDefault="00000000">
            <w:pPr>
              <w:spacing w:after="0" w:line="240" w:lineRule="auto"/>
              <w:jc w:val="left"/>
            </w:pPr>
            <w:r>
              <w:rPr>
                <w:color w:val="222222"/>
                <w:sz w:val="15"/>
              </w:rPr>
              <w:t xml:space="preserve">Zarządzanie portfelem jako jednym systemem: LNG i połączenia, FSRU, atom, obie fazy </w:t>
            </w:r>
            <w:proofErr w:type="spellStart"/>
            <w:r>
              <w:rPr>
                <w:color w:val="222222"/>
                <w:sz w:val="15"/>
              </w:rPr>
              <w:t>offshore</w:t>
            </w:r>
            <w:proofErr w:type="spellEnd"/>
            <w:r>
              <w:rPr>
                <w:color w:val="222222"/>
                <w:sz w:val="15"/>
              </w:rPr>
              <w:t>, sieci i elastyczność KSE, CCGT/OCGT, magazyny gazu oraz strategiczne zapasy paliw — ze wspólną linią bazową, rachunkiem kosztów systemowych, mapą interfejsów i finansowaniem cyklu życia.</w:t>
            </w:r>
          </w:p>
        </w:tc>
      </w:tr>
      <w:tr w:rsidR="00537CA0" w:rsidRPr="00BA4F7F" w14:paraId="0409A5C3"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41EEEBD1"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05D97FD4" w14:textId="77777777" w:rsidR="00537CA0" w:rsidRPr="00BA4F7F" w:rsidRDefault="00000000">
            <w:pPr>
              <w:spacing w:after="0" w:line="240" w:lineRule="auto"/>
              <w:jc w:val="left"/>
            </w:pPr>
            <w:r>
              <w:rPr>
                <w:color w:val="222222"/>
                <w:sz w:val="15"/>
              </w:rPr>
              <w:t xml:space="preserve">Osiąganie kamieni milowych bez kolejnych nieuzasadnionych </w:t>
            </w:r>
            <w:proofErr w:type="spellStart"/>
            <w:r>
              <w:rPr>
                <w:color w:val="222222"/>
                <w:sz w:val="15"/>
              </w:rPr>
              <w:t>rebazowań</w:t>
            </w:r>
            <w:proofErr w:type="spellEnd"/>
            <w:r>
              <w:rPr>
                <w:color w:val="222222"/>
                <w:sz w:val="15"/>
              </w:rPr>
              <w:t>, potwierdzona przepustowość i elastyczność sieci, wzrost pojemności i mocy odbioru magazynów, testowana dostępność zapasów oraz stabilna dostępność energii po konkurencyjnym koszcie całkowitym.</w:t>
            </w:r>
          </w:p>
        </w:tc>
      </w:tr>
    </w:tbl>
    <w:p w14:paraId="0128D0BB" w14:textId="77777777" w:rsidR="00537CA0" w:rsidRPr="00BA4F7F" w:rsidRDefault="00000000">
      <w:pPr>
        <w:spacing w:after="0"/>
      </w:pPr>
      <w:r w:rsidRPr="00BA4F7F">
        <w:br w:type="page"/>
      </w:r>
    </w:p>
    <w:p w14:paraId="15DC53D4" w14:textId="77777777" w:rsidR="00537CA0" w:rsidRPr="00BA4F7F" w:rsidRDefault="00000000">
      <w:pPr>
        <w:pStyle w:val="Nagwek2"/>
        <w:spacing w:before="0" w:after="60"/>
      </w:pPr>
      <w:r w:rsidRPr="00BA4F7F">
        <w:rPr>
          <w:rFonts w:ascii="Aptos Display" w:hAnsi="Aptos Display"/>
          <w:sz w:val="30"/>
        </w:rPr>
        <w:lastRenderedPageBreak/>
        <w:t>14A.14. Transport i logistyka</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0CE17AFF"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4088A0D7" w14:textId="77777777" w:rsidR="00537CA0" w:rsidRPr="00BA4F7F" w:rsidRDefault="00000000">
            <w:pPr>
              <w:spacing w:after="0" w:line="240" w:lineRule="auto"/>
              <w:jc w:val="left"/>
            </w:pPr>
            <w:r w:rsidRPr="00BA4F7F">
              <w:rPr>
                <w:rFonts w:ascii="Aptos" w:hAnsi="Aptos"/>
                <w:b/>
                <w:color w:val="FFFFFF"/>
                <w:sz w:val="14"/>
              </w:rPr>
              <w:t>WYNIK 2025</w:t>
            </w:r>
            <w:r w:rsidRPr="00BA4F7F">
              <w:rPr>
                <w:rFonts w:ascii="Aptos" w:hAnsi="Aptos"/>
                <w:b/>
                <w:color w:val="FFFFFF"/>
                <w:sz w:val="14"/>
              </w:rPr>
              <w:br/>
            </w:r>
            <w:r w:rsidRPr="00BA4F7F">
              <w:rPr>
                <w:rFonts w:ascii="Aptos" w:hAnsi="Aptos"/>
                <w:b/>
                <w:color w:val="FFFFFF"/>
                <w:sz w:val="34"/>
              </w:rPr>
              <w:t>72,4</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548F3F9E" w14:textId="77777777" w:rsidR="00537CA0" w:rsidRPr="00BA4F7F" w:rsidRDefault="00000000">
            <w:pPr>
              <w:spacing w:after="0" w:line="240" w:lineRule="auto"/>
              <w:jc w:val="left"/>
            </w:pPr>
            <w:r w:rsidRPr="00BA4F7F">
              <w:rPr>
                <w:rFonts w:ascii="Aptos" w:hAnsi="Aptos"/>
                <w:b/>
                <w:color w:val="FFFFFF"/>
                <w:sz w:val="14"/>
              </w:rPr>
              <w:t>ZMIANA 2020–2025</w:t>
            </w:r>
            <w:r w:rsidRPr="00BA4F7F">
              <w:rPr>
                <w:rFonts w:ascii="Aptos" w:hAnsi="Aptos"/>
                <w:b/>
                <w:color w:val="FFFFFF"/>
                <w:sz w:val="14"/>
              </w:rPr>
              <w:br/>
            </w:r>
            <w:r w:rsidRPr="00BA4F7F">
              <w:rPr>
                <w:rFonts w:ascii="Aptos" w:hAnsi="Aptos"/>
                <w:b/>
                <w:color w:val="FFFFFF"/>
                <w:sz w:val="34"/>
              </w:rPr>
              <w:t>−5,3</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16887AF3"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umiarkowanie dobra odporność</w:t>
            </w:r>
          </w:p>
        </w:tc>
      </w:tr>
    </w:tbl>
    <w:p w14:paraId="41383D63" w14:textId="77777777" w:rsidR="00537CA0" w:rsidRPr="00BA4F7F" w:rsidRDefault="00000000">
      <w:pPr>
        <w:keepLines/>
        <w:spacing w:before="20" w:after="30"/>
        <w:jc w:val="center"/>
      </w:pPr>
      <w:r w:rsidRPr="00BA4F7F">
        <w:rPr>
          <w:noProof/>
        </w:rPr>
        <w:drawing>
          <wp:inline distT="0" distB="0" distL="0" distR="0" wp14:anchorId="4BB6079C" wp14:editId="214ED061">
            <wp:extent cx="5688000" cy="1119880"/>
            <wp:effectExtent l="0" t="0" r="0" b="0"/>
            <wp:docPr id="1690576334" name="Picture 169057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14.png"/>
                    <pic:cNvPicPr/>
                  </pic:nvPicPr>
                  <pic:blipFill>
                    <a:blip r:embed="rId38"/>
                    <a:stretch>
                      <a:fillRect/>
                    </a:stretch>
                  </pic:blipFill>
                  <pic:spPr>
                    <a:xfrm>
                      <a:off x="0" y="0"/>
                      <a:ext cx="5688000" cy="1119880"/>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3969"/>
        <w:gridCol w:w="2154"/>
        <w:gridCol w:w="1531"/>
        <w:gridCol w:w="1361"/>
      </w:tblGrid>
      <w:tr w:rsidR="00537CA0" w:rsidRPr="00BA4F7F" w14:paraId="12115944" w14:textId="77777777">
        <w:trPr>
          <w:cantSplit/>
          <w:tblHeader/>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2597D403" w14:textId="77777777" w:rsidR="00537CA0" w:rsidRPr="00BA4F7F" w:rsidRDefault="00000000">
            <w:pPr>
              <w:spacing w:after="0"/>
              <w:jc w:val="center"/>
            </w:pPr>
            <w:r w:rsidRPr="00BA4F7F">
              <w:rPr>
                <w:rFonts w:ascii="Aptos" w:hAnsi="Aptos"/>
                <w:b/>
                <w:color w:val="FFFFFF"/>
                <w:sz w:val="14"/>
              </w:rPr>
              <w:t>Składnik modelu</w:t>
            </w:r>
          </w:p>
        </w:tc>
        <w:tc>
          <w:tcPr>
            <w:tcW w:w="2154"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4CAD30C9" w14:textId="77777777" w:rsidR="00537CA0" w:rsidRPr="00BA4F7F" w:rsidRDefault="00000000">
            <w:pPr>
              <w:spacing w:after="0"/>
              <w:jc w:val="center"/>
            </w:pPr>
            <w:r w:rsidRPr="00BA4F7F">
              <w:rPr>
                <w:rFonts w:ascii="Aptos" w:hAnsi="Aptos"/>
                <w:b/>
                <w:color w:val="FFFFFF"/>
                <w:sz w:val="14"/>
              </w:rPr>
              <w:t>Wartość / ocena 2025</w:t>
            </w:r>
          </w:p>
        </w:tc>
        <w:tc>
          <w:tcPr>
            <w:tcW w:w="153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2B35639D" w14:textId="77777777" w:rsidR="00537CA0" w:rsidRPr="00BA4F7F" w:rsidRDefault="00000000">
            <w:pPr>
              <w:spacing w:after="0"/>
              <w:jc w:val="center"/>
            </w:pPr>
            <w:r w:rsidRPr="00BA4F7F">
              <w:rPr>
                <w:rFonts w:ascii="Aptos" w:hAnsi="Aptos"/>
                <w:b/>
                <w:color w:val="FFFFFF"/>
                <w:sz w:val="14"/>
              </w:rPr>
              <w:t>Punkty IRS</w:t>
            </w:r>
          </w:p>
        </w:tc>
        <w:tc>
          <w:tcPr>
            <w:tcW w:w="136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3A3B5AA6" w14:textId="77777777" w:rsidR="00537CA0" w:rsidRPr="00BA4F7F" w:rsidRDefault="00000000">
            <w:pPr>
              <w:spacing w:after="0"/>
              <w:jc w:val="center"/>
            </w:pPr>
            <w:r w:rsidRPr="00BA4F7F">
              <w:rPr>
                <w:rFonts w:ascii="Aptos" w:hAnsi="Aptos"/>
                <w:b/>
                <w:color w:val="FFFFFF"/>
                <w:sz w:val="14"/>
              </w:rPr>
              <w:t>Waga</w:t>
            </w:r>
          </w:p>
        </w:tc>
      </w:tr>
      <w:tr w:rsidR="00537CA0" w:rsidRPr="00BA4F7F" w14:paraId="046462EA"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E9A39B4" w14:textId="77777777" w:rsidR="00537CA0" w:rsidRPr="00BA4F7F" w:rsidRDefault="00000000">
            <w:pPr>
              <w:spacing w:after="0" w:line="228" w:lineRule="auto"/>
              <w:jc w:val="left"/>
            </w:pPr>
            <w:r w:rsidRPr="00BA4F7F">
              <w:rPr>
                <w:rFonts w:ascii="Aptos" w:hAnsi="Aptos"/>
                <w:b/>
                <w:color w:val="222222"/>
                <w:sz w:val="14"/>
              </w:rPr>
              <w:t>K1 – efekt strategiczny</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DA48A7A" w14:textId="77777777" w:rsidR="00537CA0" w:rsidRPr="00BA4F7F" w:rsidRDefault="00000000">
            <w:pPr>
              <w:spacing w:after="0" w:line="228" w:lineRule="auto"/>
              <w:jc w:val="center"/>
            </w:pPr>
            <w:r w:rsidRPr="00BA4F7F">
              <w:rPr>
                <w:rFonts w:ascii="Aptos" w:hAnsi="Aptos"/>
                <w:color w:val="222222"/>
                <w:sz w:val="14"/>
              </w:rPr>
              <w:t>89,5 pkt</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6C614D39" w14:textId="77777777" w:rsidR="00537CA0" w:rsidRPr="00BA4F7F" w:rsidRDefault="00000000">
            <w:pPr>
              <w:spacing w:after="0" w:line="228" w:lineRule="auto"/>
              <w:jc w:val="center"/>
            </w:pPr>
            <w:r w:rsidRPr="00BA4F7F">
              <w:rPr>
                <w:rFonts w:ascii="Aptos" w:hAnsi="Aptos"/>
                <w:color w:val="222222"/>
                <w:sz w:val="14"/>
              </w:rPr>
              <w:t>89,5</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6BDC7AEA" w14:textId="77777777" w:rsidR="00537CA0" w:rsidRPr="00BA4F7F" w:rsidRDefault="00000000">
            <w:pPr>
              <w:spacing w:after="0" w:line="228" w:lineRule="auto"/>
              <w:jc w:val="center"/>
            </w:pPr>
            <w:r w:rsidRPr="00BA4F7F">
              <w:rPr>
                <w:rFonts w:ascii="Aptos" w:hAnsi="Aptos"/>
                <w:color w:val="222222"/>
                <w:sz w:val="14"/>
              </w:rPr>
              <w:t>25% kryterium</w:t>
            </w:r>
          </w:p>
        </w:tc>
      </w:tr>
      <w:tr w:rsidR="00537CA0" w:rsidRPr="00BA4F7F" w14:paraId="30E341BE"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1A3360E2" w14:textId="77777777" w:rsidR="00537CA0" w:rsidRPr="00BA4F7F" w:rsidRDefault="00000000">
            <w:pPr>
              <w:spacing w:after="0" w:line="228" w:lineRule="auto"/>
              <w:jc w:val="left"/>
            </w:pPr>
            <w:r w:rsidRPr="00BA4F7F">
              <w:rPr>
                <w:rFonts w:ascii="Aptos" w:hAnsi="Aptos"/>
                <w:b/>
                <w:color w:val="222222"/>
                <w:sz w:val="14"/>
              </w:rPr>
              <w:t>K2 – harmonogram</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40188895" w14:textId="77777777" w:rsidR="00537CA0" w:rsidRPr="00BA4F7F" w:rsidRDefault="00000000">
            <w:pPr>
              <w:spacing w:after="0" w:line="228" w:lineRule="auto"/>
              <w:jc w:val="center"/>
            </w:pPr>
            <w:r w:rsidRPr="00BA4F7F">
              <w:rPr>
                <w:rFonts w:ascii="Aptos" w:hAnsi="Aptos"/>
                <w:color w:val="222222"/>
                <w:sz w:val="14"/>
              </w:rPr>
              <w:t>62,5 pkt</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83C84BD" w14:textId="77777777" w:rsidR="00537CA0" w:rsidRPr="00BA4F7F" w:rsidRDefault="00000000">
            <w:pPr>
              <w:spacing w:after="0" w:line="228" w:lineRule="auto"/>
              <w:jc w:val="center"/>
            </w:pPr>
            <w:r w:rsidRPr="00BA4F7F">
              <w:rPr>
                <w:rFonts w:ascii="Aptos" w:hAnsi="Aptos"/>
                <w:color w:val="222222"/>
                <w:sz w:val="14"/>
              </w:rPr>
              <w:t>62,5</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14BCFA83" w14:textId="77777777" w:rsidR="00537CA0" w:rsidRPr="00BA4F7F" w:rsidRDefault="00000000">
            <w:pPr>
              <w:spacing w:after="0" w:line="228" w:lineRule="auto"/>
              <w:jc w:val="center"/>
            </w:pPr>
            <w:r w:rsidRPr="00BA4F7F">
              <w:rPr>
                <w:rFonts w:ascii="Aptos" w:hAnsi="Aptos"/>
                <w:color w:val="222222"/>
                <w:sz w:val="14"/>
              </w:rPr>
              <w:t>25% kryterium</w:t>
            </w:r>
          </w:p>
        </w:tc>
      </w:tr>
      <w:tr w:rsidR="00537CA0" w:rsidRPr="00BA4F7F" w14:paraId="7D1AA66F"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95DDACF" w14:textId="77777777" w:rsidR="00537CA0" w:rsidRPr="00BA4F7F" w:rsidRDefault="00000000">
            <w:pPr>
              <w:spacing w:after="0" w:line="228" w:lineRule="auto"/>
              <w:jc w:val="left"/>
            </w:pPr>
            <w:r w:rsidRPr="00BA4F7F">
              <w:rPr>
                <w:rFonts w:ascii="Aptos" w:hAnsi="Aptos"/>
                <w:b/>
                <w:color w:val="222222"/>
                <w:sz w:val="14"/>
              </w:rPr>
              <w:t>K3 – integralność zakresu</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40A0074C" w14:textId="77777777" w:rsidR="00537CA0" w:rsidRPr="00BA4F7F" w:rsidRDefault="00000000">
            <w:pPr>
              <w:spacing w:after="0" w:line="228" w:lineRule="auto"/>
              <w:jc w:val="center"/>
            </w:pPr>
            <w:r w:rsidRPr="00BA4F7F">
              <w:rPr>
                <w:rFonts w:ascii="Aptos" w:hAnsi="Aptos"/>
                <w:color w:val="222222"/>
                <w:sz w:val="14"/>
              </w:rPr>
              <w:t>72,5 pkt</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5644CF1E" w14:textId="77777777" w:rsidR="00537CA0" w:rsidRPr="00BA4F7F" w:rsidRDefault="00000000">
            <w:pPr>
              <w:spacing w:after="0" w:line="228" w:lineRule="auto"/>
              <w:jc w:val="center"/>
            </w:pPr>
            <w:r w:rsidRPr="00BA4F7F">
              <w:rPr>
                <w:rFonts w:ascii="Aptos" w:hAnsi="Aptos"/>
                <w:color w:val="222222"/>
                <w:sz w:val="14"/>
              </w:rPr>
              <w:t>72,5</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28CA89F1" w14:textId="77777777" w:rsidR="00537CA0" w:rsidRPr="00BA4F7F" w:rsidRDefault="00000000">
            <w:pPr>
              <w:spacing w:after="0" w:line="228" w:lineRule="auto"/>
              <w:jc w:val="center"/>
            </w:pPr>
            <w:r w:rsidRPr="00BA4F7F">
              <w:rPr>
                <w:rFonts w:ascii="Aptos" w:hAnsi="Aptos"/>
                <w:color w:val="222222"/>
                <w:sz w:val="14"/>
              </w:rPr>
              <w:t>25% kryterium</w:t>
            </w:r>
          </w:p>
        </w:tc>
      </w:tr>
      <w:tr w:rsidR="00537CA0" w:rsidRPr="00BA4F7F" w14:paraId="6B22027E"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26FDFE6" w14:textId="77777777" w:rsidR="00537CA0" w:rsidRPr="00BA4F7F" w:rsidRDefault="00000000">
            <w:pPr>
              <w:spacing w:after="0" w:line="228" w:lineRule="auto"/>
              <w:jc w:val="left"/>
            </w:pPr>
            <w:r w:rsidRPr="00BA4F7F">
              <w:rPr>
                <w:rFonts w:ascii="Aptos" w:hAnsi="Aptos"/>
                <w:b/>
                <w:color w:val="222222"/>
                <w:sz w:val="14"/>
              </w:rPr>
              <w:t>K4 – zarządzanie</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18ED1981" w14:textId="77777777" w:rsidR="00537CA0" w:rsidRPr="00BA4F7F" w:rsidRDefault="00000000">
            <w:pPr>
              <w:spacing w:after="0" w:line="228" w:lineRule="auto"/>
              <w:jc w:val="center"/>
            </w:pPr>
            <w:r w:rsidRPr="00BA4F7F">
              <w:rPr>
                <w:rFonts w:ascii="Aptos" w:hAnsi="Aptos"/>
                <w:color w:val="222222"/>
                <w:sz w:val="14"/>
              </w:rPr>
              <w:t>65,0 pkt</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5AF81E04" w14:textId="77777777" w:rsidR="00537CA0" w:rsidRPr="00BA4F7F" w:rsidRDefault="00000000">
            <w:pPr>
              <w:spacing w:after="0" w:line="228" w:lineRule="auto"/>
              <w:jc w:val="center"/>
            </w:pPr>
            <w:r w:rsidRPr="00BA4F7F">
              <w:rPr>
                <w:rFonts w:ascii="Aptos" w:hAnsi="Aptos"/>
                <w:color w:val="222222"/>
                <w:sz w:val="14"/>
              </w:rPr>
              <w:t>65,0</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7BA45A1D" w14:textId="77777777" w:rsidR="00537CA0" w:rsidRPr="00BA4F7F" w:rsidRDefault="00000000">
            <w:pPr>
              <w:spacing w:after="0" w:line="228" w:lineRule="auto"/>
              <w:jc w:val="center"/>
            </w:pPr>
            <w:r w:rsidRPr="00BA4F7F">
              <w:rPr>
                <w:rFonts w:ascii="Aptos" w:hAnsi="Aptos"/>
                <w:color w:val="222222"/>
                <w:sz w:val="14"/>
              </w:rPr>
              <w:t>25% kryterium</w:t>
            </w:r>
          </w:p>
        </w:tc>
      </w:tr>
    </w:tbl>
    <w:p w14:paraId="12C694A3" w14:textId="77777777" w:rsidR="00537CA0" w:rsidRPr="00BA4F7F" w:rsidRDefault="00537CA0">
      <w:pPr>
        <w:spacing w:after="20"/>
      </w:pPr>
    </w:p>
    <w:p w14:paraId="6740E43D" w14:textId="77777777" w:rsidR="00537CA0" w:rsidRPr="00BA4F7F" w:rsidRDefault="00000000">
      <w:pPr>
        <w:keepLines/>
        <w:spacing w:after="30" w:line="240" w:lineRule="auto"/>
      </w:pPr>
      <w:r w:rsidRPr="00BA4F7F">
        <w:rPr>
          <w:b/>
          <w:color w:val="1F4E79"/>
          <w:sz w:val="16"/>
        </w:rPr>
        <w:t xml:space="preserve">Funkcja w IRS i sposób liczenia. </w:t>
      </w:r>
      <w:r w:rsidRPr="00BA4F7F">
        <w:rPr>
          <w:color w:val="222222"/>
          <w:sz w:val="16"/>
        </w:rPr>
        <w:t>Portfel obejmuje dziesięć projektów korytarzy drogowych, kolejowych, lotniczych i portowych, ocenianych według efektu strategicznego, harmonogramu, integralności zakresu i zarządzania. Równe wagi projektów ograniczają dominację największego budżetu, a punktacja premiuje domknięcie pełnego korytarza lub funkcji logistycznej.</w:t>
      </w:r>
    </w:p>
    <w:p w14:paraId="3F80ECC0" w14:textId="77777777" w:rsidR="00537CA0" w:rsidRPr="00BA4F7F" w:rsidRDefault="00000000">
      <w:pPr>
        <w:keepLines/>
        <w:spacing w:after="30" w:line="240" w:lineRule="auto"/>
      </w:pPr>
      <w:r w:rsidRPr="00BA4F7F">
        <w:rPr>
          <w:b/>
          <w:color w:val="1F4E79"/>
          <w:sz w:val="16"/>
        </w:rPr>
        <w:t xml:space="preserve">Diagnoza i kontekst 2020–2025. </w:t>
      </w:r>
      <w:r w:rsidRPr="00BA4F7F">
        <w:rPr>
          <w:color w:val="222222"/>
          <w:sz w:val="16"/>
        </w:rPr>
        <w:t xml:space="preserve">Wynik jest stabilny w latach 2020–2023 – od 77,5 do 78,4 pkt – następnie obniża się do 72,5 pkt w 2024 r. i 72,4 pkt w 2025 r. S3 i </w:t>
      </w:r>
      <w:proofErr w:type="spellStart"/>
      <w:r w:rsidRPr="00BA4F7F">
        <w:rPr>
          <w:color w:val="222222"/>
          <w:sz w:val="16"/>
        </w:rPr>
        <w:t>Baltic</w:t>
      </w:r>
      <w:proofErr w:type="spellEnd"/>
      <w:r w:rsidRPr="00BA4F7F">
        <w:rPr>
          <w:color w:val="222222"/>
          <w:sz w:val="16"/>
        </w:rPr>
        <w:t xml:space="preserve"> Hub T3 pokazują wartość domkniętych połączeń oraz zdolności portowych. CPK / Port Polska odbudowuje wynik po </w:t>
      </w:r>
      <w:proofErr w:type="spellStart"/>
      <w:r w:rsidRPr="00BA4F7F">
        <w:rPr>
          <w:color w:val="222222"/>
          <w:sz w:val="16"/>
        </w:rPr>
        <w:t>rebazowaniu</w:t>
      </w:r>
      <w:proofErr w:type="spellEnd"/>
      <w:r w:rsidRPr="00BA4F7F">
        <w:rPr>
          <w:color w:val="222222"/>
          <w:sz w:val="16"/>
        </w:rPr>
        <w:t xml:space="preserve">, ale nowy plan nie usuwa kosztu utraconego czasu. </w:t>
      </w:r>
      <w:proofErr w:type="spellStart"/>
      <w:r w:rsidRPr="00BA4F7F">
        <w:rPr>
          <w:color w:val="222222"/>
          <w:sz w:val="16"/>
        </w:rPr>
        <w:t>Rail</w:t>
      </w:r>
      <w:proofErr w:type="spellEnd"/>
      <w:r w:rsidRPr="00BA4F7F">
        <w:rPr>
          <w:color w:val="222222"/>
          <w:sz w:val="16"/>
        </w:rPr>
        <w:t xml:space="preserve"> </w:t>
      </w:r>
      <w:proofErr w:type="spellStart"/>
      <w:r w:rsidRPr="00BA4F7F">
        <w:rPr>
          <w:color w:val="222222"/>
          <w:sz w:val="16"/>
        </w:rPr>
        <w:t>Baltica</w:t>
      </w:r>
      <w:proofErr w:type="spellEnd"/>
      <w:r w:rsidRPr="00BA4F7F">
        <w:rPr>
          <w:color w:val="222222"/>
          <w:sz w:val="16"/>
        </w:rPr>
        <w:t xml:space="preserve">, Via </w:t>
      </w:r>
      <w:proofErr w:type="spellStart"/>
      <w:r w:rsidRPr="00BA4F7F">
        <w:rPr>
          <w:color w:val="222222"/>
          <w:sz w:val="16"/>
        </w:rPr>
        <w:t>Carpatia</w:t>
      </w:r>
      <w:proofErr w:type="spellEnd"/>
      <w:r w:rsidRPr="00BA4F7F">
        <w:rPr>
          <w:color w:val="222222"/>
          <w:sz w:val="16"/>
        </w:rPr>
        <w:t>, A2 i projekty portów zewnętrznych zachowują silne uzasadnienie wobec wojny i zmiany kierunków handlu, lecz pełny efekt zależy od brakujących odcinków, dostępu kolejowego, przepustowości przejść i uzgodnień międzynarodowych.</w:t>
      </w:r>
    </w:p>
    <w:p w14:paraId="50074D80" w14:textId="77777777" w:rsidR="00537CA0" w:rsidRPr="00BA4F7F" w:rsidRDefault="00000000">
      <w:pPr>
        <w:keepLines/>
        <w:spacing w:after="30" w:line="240" w:lineRule="auto"/>
      </w:pPr>
      <w:r w:rsidRPr="00BA4F7F">
        <w:rPr>
          <w:b/>
          <w:color w:val="1F4E79"/>
          <w:sz w:val="16"/>
        </w:rPr>
        <w:t xml:space="preserve">Znaczenie dla racji stanu. </w:t>
      </w:r>
      <w:r w:rsidRPr="00BA4F7F">
        <w:rPr>
          <w:color w:val="222222"/>
          <w:sz w:val="16"/>
        </w:rPr>
        <w:t>Transport jest jednocześnie infrastrukturą gospodarki, mobilności wojskowej, eksportu i zaopatrzenia. Jego wartość powstaje na styku wielu właścicieli: dróg, kolei, portów, terminali, granic i systemów cyfrowych. Opóźnienie jednego interfejsu może ograniczyć korzyść z wielu ukończonych odcinków.</w:t>
      </w:r>
    </w:p>
    <w:p w14:paraId="433519D7" w14:textId="77777777" w:rsidR="00537CA0" w:rsidRPr="00BA4F7F" w:rsidRDefault="00000000">
      <w:pPr>
        <w:keepLines/>
        <w:spacing w:after="80" w:line="250" w:lineRule="auto"/>
      </w:pPr>
      <w:r w:rsidRPr="00BA4F7F">
        <w:rPr>
          <w:color w:val="222222"/>
          <w:sz w:val="18"/>
        </w:rPr>
        <w:t>Wniosek. Średni wynik portfela może być wysoki, mimo że rzeczywista funkcja sieci jest wyznaczana przez ostatnie brakujące ogniwo. W logistyce 90% ukończonego korytarza nie zawsze daje 90% efektu: wąskie gardło na granicy, w porcie lub na dostępie kolejowym może zdominować całą przepustowość.</w:t>
      </w:r>
    </w:p>
    <w:tbl>
      <w:tblPr>
        <w:tblW w:w="0" w:type="auto"/>
        <w:jc w:val="center"/>
        <w:tblLayout w:type="fixed"/>
        <w:tblLook w:val="04A0" w:firstRow="1" w:lastRow="0" w:firstColumn="1" w:lastColumn="0" w:noHBand="0" w:noVBand="1"/>
      </w:tblPr>
      <w:tblGrid>
        <w:gridCol w:w="1474"/>
        <w:gridCol w:w="7540"/>
      </w:tblGrid>
      <w:tr w:rsidR="00537CA0" w:rsidRPr="00BA4F7F" w14:paraId="7471AC9A"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672D2DFC"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4B4A176E" w14:textId="77777777" w:rsidR="00537CA0" w:rsidRPr="00BA4F7F" w:rsidRDefault="00000000">
            <w:pPr>
              <w:spacing w:after="0" w:line="240" w:lineRule="auto"/>
              <w:jc w:val="left"/>
            </w:pPr>
            <w:r w:rsidRPr="00BA4F7F">
              <w:rPr>
                <w:color w:val="222222"/>
                <w:sz w:val="15"/>
              </w:rPr>
              <w:t xml:space="preserve">Zarządzanie korytarzami ponad podziałem na inwestorów: wspólne kamienie milowe, priorytety mobilności wojskowej, integracja port–kolej–droga i transparentne zasady </w:t>
            </w:r>
            <w:proofErr w:type="spellStart"/>
            <w:r w:rsidRPr="00BA4F7F">
              <w:rPr>
                <w:color w:val="222222"/>
                <w:sz w:val="15"/>
              </w:rPr>
              <w:t>rebazowania</w:t>
            </w:r>
            <w:proofErr w:type="spellEnd"/>
            <w:r w:rsidRPr="00BA4F7F">
              <w:rPr>
                <w:color w:val="222222"/>
                <w:sz w:val="15"/>
              </w:rPr>
              <w:t>.</w:t>
            </w:r>
          </w:p>
        </w:tc>
      </w:tr>
      <w:tr w:rsidR="00537CA0" w:rsidRPr="00BA4F7F" w14:paraId="0AD10BFE"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47F78163"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7D2B8D1A" w14:textId="77777777" w:rsidR="00537CA0" w:rsidRPr="00BA4F7F" w:rsidRDefault="00000000">
            <w:pPr>
              <w:spacing w:after="0" w:line="240" w:lineRule="auto"/>
              <w:jc w:val="left"/>
            </w:pPr>
            <w:r w:rsidRPr="00BA4F7F">
              <w:rPr>
                <w:color w:val="222222"/>
                <w:sz w:val="15"/>
              </w:rPr>
              <w:t>Domykanie pełnych korytarzy, wzrost przepustowości i niezawodności, skrócenie czasu przewozu oraz potwierdzona zdolność obsługi handlu i przemieszczeń wojskowych w warunkach zakłócenia.</w:t>
            </w:r>
          </w:p>
        </w:tc>
      </w:tr>
    </w:tbl>
    <w:p w14:paraId="10C5D855" w14:textId="77777777" w:rsidR="00537CA0" w:rsidRPr="00BA4F7F" w:rsidRDefault="00000000">
      <w:pPr>
        <w:spacing w:after="0"/>
      </w:pPr>
      <w:r w:rsidRPr="00BA4F7F">
        <w:br w:type="page"/>
      </w:r>
    </w:p>
    <w:p w14:paraId="1108EC2E" w14:textId="77777777" w:rsidR="00537CA0" w:rsidRPr="00BA4F7F" w:rsidRDefault="00000000">
      <w:pPr>
        <w:pStyle w:val="Nagwek2"/>
        <w:spacing w:before="0" w:after="60"/>
      </w:pPr>
      <w:r w:rsidRPr="00BA4F7F">
        <w:rPr>
          <w:rFonts w:ascii="Aptos Display" w:hAnsi="Aptos Display"/>
          <w:sz w:val="30"/>
        </w:rPr>
        <w:lastRenderedPageBreak/>
        <w:t>14A.15. Cyfryzacja</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310185D0"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1E595623" w14:textId="77777777" w:rsidR="00537CA0" w:rsidRPr="00BA4F7F" w:rsidRDefault="00000000">
            <w:pPr>
              <w:spacing w:after="0" w:line="240" w:lineRule="auto"/>
              <w:jc w:val="left"/>
            </w:pPr>
            <w:r w:rsidRPr="00BA4F7F">
              <w:rPr>
                <w:rFonts w:ascii="Aptos" w:hAnsi="Aptos"/>
                <w:b/>
                <w:color w:val="FFFFFF"/>
                <w:sz w:val="14"/>
              </w:rPr>
              <w:t>WYNIK 2025</w:t>
            </w:r>
            <w:r w:rsidRPr="00BA4F7F">
              <w:rPr>
                <w:rFonts w:ascii="Aptos" w:hAnsi="Aptos"/>
                <w:b/>
                <w:color w:val="FFFFFF"/>
                <w:sz w:val="14"/>
              </w:rPr>
              <w:br/>
            </w:r>
            <w:r w:rsidRPr="00BA4F7F">
              <w:rPr>
                <w:rFonts w:ascii="Aptos" w:hAnsi="Aptos"/>
                <w:b/>
                <w:color w:val="FFFFFF"/>
                <w:sz w:val="34"/>
              </w:rPr>
              <w:t>65,5</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644A43BF" w14:textId="77777777" w:rsidR="00537CA0" w:rsidRPr="00BA4F7F" w:rsidRDefault="00000000">
            <w:pPr>
              <w:spacing w:after="0" w:line="240" w:lineRule="auto"/>
              <w:jc w:val="left"/>
            </w:pPr>
            <w:r w:rsidRPr="00BA4F7F">
              <w:rPr>
                <w:rFonts w:ascii="Aptos" w:hAnsi="Aptos"/>
                <w:b/>
                <w:color w:val="FFFFFF"/>
                <w:sz w:val="14"/>
              </w:rPr>
              <w:t>ZMIANA 2020–2025</w:t>
            </w:r>
            <w:r w:rsidRPr="00BA4F7F">
              <w:rPr>
                <w:rFonts w:ascii="Aptos" w:hAnsi="Aptos"/>
                <w:b/>
                <w:color w:val="FFFFFF"/>
                <w:sz w:val="14"/>
              </w:rPr>
              <w:br/>
            </w:r>
            <w:r w:rsidRPr="00BA4F7F">
              <w:rPr>
                <w:rFonts w:ascii="Aptos" w:hAnsi="Aptos"/>
                <w:b/>
                <w:color w:val="FFFFFF"/>
                <w:sz w:val="34"/>
              </w:rPr>
              <w:t>−10,0</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1015D7B9"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umiarkowanie dobra odporność</w:t>
            </w:r>
          </w:p>
        </w:tc>
      </w:tr>
    </w:tbl>
    <w:p w14:paraId="2277397B" w14:textId="77777777" w:rsidR="00537CA0" w:rsidRPr="00BA4F7F" w:rsidRDefault="00000000">
      <w:pPr>
        <w:keepLines/>
        <w:spacing w:before="20" w:after="30"/>
        <w:jc w:val="center"/>
      </w:pPr>
      <w:r w:rsidRPr="00BA4F7F">
        <w:rPr>
          <w:noProof/>
        </w:rPr>
        <w:drawing>
          <wp:inline distT="0" distB="0" distL="0" distR="0" wp14:anchorId="679CD182" wp14:editId="061E51E1">
            <wp:extent cx="5688000" cy="1119183"/>
            <wp:effectExtent l="0" t="0" r="0" b="0"/>
            <wp:docPr id="1690576335" name="Picture 1690576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15.png"/>
                    <pic:cNvPicPr/>
                  </pic:nvPicPr>
                  <pic:blipFill>
                    <a:blip r:embed="rId39"/>
                    <a:stretch>
                      <a:fillRect/>
                    </a:stretch>
                  </pic:blipFill>
                  <pic:spPr>
                    <a:xfrm>
                      <a:off x="0" y="0"/>
                      <a:ext cx="5688000" cy="1119183"/>
                    </a:xfrm>
                    <a:prstGeom prst="rect">
                      <a:avLst/>
                    </a:prstGeom>
                  </pic:spPr>
                </pic:pic>
              </a:graphicData>
            </a:graphic>
          </wp:inline>
        </w:drawing>
      </w:r>
    </w:p>
    <w:tbl>
      <w:tblPr>
        <w:tblStyle w:val="Tabela-Siatka"/>
        <w:tblW w:w="0" w:type="auto"/>
        <w:jc w:val="center"/>
        <w:tblLayout w:type="fixed"/>
        <w:tblLook w:val="04A0" w:firstRow="1" w:lastRow="0" w:firstColumn="1" w:lastColumn="0" w:noHBand="0" w:noVBand="1"/>
      </w:tblPr>
      <w:tblGrid>
        <w:gridCol w:w="2088"/>
        <w:gridCol w:w="3816"/>
        <w:gridCol w:w="1080"/>
        <w:gridCol w:w="792"/>
      </w:tblGrid>
      <w:tr w:rsidR="00537CA0" w:rsidRPr="00BA4F7F" w14:paraId="201BB47A" w14:textId="77777777">
        <w:trPr>
          <w:cantSplit/>
          <w:tblHeader/>
          <w:jc w:val="center"/>
        </w:trPr>
        <w:tc>
          <w:tcPr>
            <w:tcW w:w="2088" w:type="dxa"/>
            <w:tcBorders>
              <w:top w:val="single" w:sz="4" w:space="0" w:color="B7C9D6"/>
              <w:left w:val="single" w:sz="4" w:space="0" w:color="B7C9D6"/>
              <w:bottom w:val="single" w:sz="4" w:space="0" w:color="B7C9D6"/>
              <w:right w:val="single" w:sz="4" w:space="0" w:color="B7C9D6"/>
            </w:tcBorders>
            <w:shd w:val="clear" w:color="auto" w:fill="238C8C"/>
            <w:tcMar>
              <w:top w:w="70" w:type="dxa"/>
              <w:left w:w="80" w:type="dxa"/>
              <w:bottom w:w="70" w:type="dxa"/>
              <w:right w:w="80" w:type="dxa"/>
            </w:tcMar>
            <w:vAlign w:val="center"/>
          </w:tcPr>
          <w:p w14:paraId="52E4F102" w14:textId="77777777" w:rsidR="00537CA0" w:rsidRPr="00BA4F7F" w:rsidRDefault="00000000">
            <w:pPr>
              <w:spacing w:after="0"/>
              <w:jc w:val="center"/>
            </w:pPr>
            <w:r w:rsidRPr="00BA4F7F">
              <w:rPr>
                <w:b/>
                <w:color w:val="FFFFFF"/>
                <w:sz w:val="14"/>
              </w:rPr>
              <w:t>Składnik modelu</w:t>
            </w:r>
          </w:p>
        </w:tc>
        <w:tc>
          <w:tcPr>
            <w:tcW w:w="3816" w:type="dxa"/>
            <w:tcBorders>
              <w:top w:val="single" w:sz="4" w:space="0" w:color="B7C9D6"/>
              <w:left w:val="single" w:sz="4" w:space="0" w:color="B7C9D6"/>
              <w:bottom w:val="single" w:sz="4" w:space="0" w:color="B7C9D6"/>
              <w:right w:val="single" w:sz="4" w:space="0" w:color="B7C9D6"/>
            </w:tcBorders>
            <w:shd w:val="clear" w:color="auto" w:fill="238C8C"/>
            <w:tcMar>
              <w:top w:w="70" w:type="dxa"/>
              <w:left w:w="80" w:type="dxa"/>
              <w:bottom w:w="70" w:type="dxa"/>
              <w:right w:w="80" w:type="dxa"/>
            </w:tcMar>
            <w:vAlign w:val="center"/>
          </w:tcPr>
          <w:p w14:paraId="33FEC4F3" w14:textId="77777777" w:rsidR="003357E9" w:rsidRPr="00BA4F7F" w:rsidRDefault="00000000">
            <w:pPr>
              <w:spacing w:after="0"/>
              <w:jc w:val="center"/>
            </w:pPr>
            <w:r w:rsidRPr="00BA4F7F">
              <w:rPr>
                <w:b/>
                <w:color w:val="FFFFFF"/>
                <w:sz w:val="14"/>
              </w:rPr>
              <w:t>Kryteria 2025</w:t>
            </w:r>
          </w:p>
        </w:tc>
        <w:tc>
          <w:tcPr>
            <w:tcW w:w="1080" w:type="dxa"/>
            <w:tcBorders>
              <w:top w:val="single" w:sz="4" w:space="0" w:color="B7C9D6"/>
              <w:left w:val="single" w:sz="4" w:space="0" w:color="B7C9D6"/>
              <w:bottom w:val="single" w:sz="4" w:space="0" w:color="B7C9D6"/>
              <w:right w:val="single" w:sz="4" w:space="0" w:color="B7C9D6"/>
            </w:tcBorders>
            <w:shd w:val="clear" w:color="auto" w:fill="238C8C"/>
            <w:tcMar>
              <w:top w:w="70" w:type="dxa"/>
              <w:left w:w="80" w:type="dxa"/>
              <w:bottom w:w="70" w:type="dxa"/>
              <w:right w:w="80" w:type="dxa"/>
            </w:tcMar>
            <w:vAlign w:val="center"/>
          </w:tcPr>
          <w:p w14:paraId="4FD67558" w14:textId="77777777" w:rsidR="00537CA0" w:rsidRPr="00BA4F7F" w:rsidRDefault="00000000">
            <w:pPr>
              <w:spacing w:after="0"/>
              <w:jc w:val="center"/>
            </w:pPr>
            <w:r w:rsidRPr="00BA4F7F">
              <w:rPr>
                <w:b/>
                <w:color w:val="FFFFFF"/>
                <w:sz w:val="14"/>
              </w:rPr>
              <w:t>Punkty IRS</w:t>
            </w:r>
          </w:p>
        </w:tc>
        <w:tc>
          <w:tcPr>
            <w:tcW w:w="792" w:type="dxa"/>
            <w:tcBorders>
              <w:top w:val="single" w:sz="4" w:space="0" w:color="B7C9D6"/>
              <w:left w:val="single" w:sz="4" w:space="0" w:color="B7C9D6"/>
              <w:bottom w:val="single" w:sz="4" w:space="0" w:color="B7C9D6"/>
              <w:right w:val="single" w:sz="4" w:space="0" w:color="B7C9D6"/>
            </w:tcBorders>
            <w:shd w:val="clear" w:color="auto" w:fill="238C8C"/>
            <w:tcMar>
              <w:top w:w="70" w:type="dxa"/>
              <w:left w:w="80" w:type="dxa"/>
              <w:bottom w:w="70" w:type="dxa"/>
              <w:right w:w="80" w:type="dxa"/>
            </w:tcMar>
            <w:vAlign w:val="center"/>
          </w:tcPr>
          <w:p w14:paraId="71608D5A" w14:textId="77777777" w:rsidR="00537CA0" w:rsidRPr="00BA4F7F" w:rsidRDefault="00000000">
            <w:pPr>
              <w:spacing w:after="0"/>
              <w:jc w:val="center"/>
            </w:pPr>
            <w:r w:rsidRPr="00BA4F7F">
              <w:rPr>
                <w:b/>
                <w:color w:val="FFFFFF"/>
                <w:sz w:val="14"/>
              </w:rPr>
              <w:t>Waga</w:t>
            </w:r>
          </w:p>
        </w:tc>
      </w:tr>
      <w:tr w:rsidR="00537CA0" w:rsidRPr="00BA4F7F" w14:paraId="19554BB7" w14:textId="77777777">
        <w:trPr>
          <w:cantSplit/>
          <w:jc w:val="center"/>
        </w:trPr>
        <w:tc>
          <w:tcPr>
            <w:tcW w:w="2088" w:type="dxa"/>
            <w:tcBorders>
              <w:top w:val="single" w:sz="4" w:space="0" w:color="B7C9D6"/>
              <w:left w:val="single" w:sz="4" w:space="0" w:color="B7C9D6"/>
              <w:bottom w:val="single" w:sz="4" w:space="0" w:color="B7C9D6"/>
              <w:right w:val="single" w:sz="4" w:space="0" w:color="B7C9D6"/>
            </w:tcBorders>
            <w:shd w:val="clear" w:color="auto" w:fill="FFFFFF"/>
            <w:tcMar>
              <w:top w:w="70" w:type="dxa"/>
              <w:left w:w="80" w:type="dxa"/>
              <w:bottom w:w="70" w:type="dxa"/>
              <w:right w:w="80" w:type="dxa"/>
            </w:tcMar>
            <w:vAlign w:val="center"/>
          </w:tcPr>
          <w:p w14:paraId="61E76CAF" w14:textId="77777777" w:rsidR="003357E9" w:rsidRPr="00BA4F7F" w:rsidRDefault="00000000">
            <w:pPr>
              <w:spacing w:after="0"/>
            </w:pPr>
            <w:r w:rsidRPr="00BA4F7F">
              <w:rPr>
                <w:color w:val="1E1E1E"/>
                <w:sz w:val="14"/>
              </w:rPr>
              <w:t>Usługi publiczne</w:t>
            </w:r>
          </w:p>
        </w:tc>
        <w:tc>
          <w:tcPr>
            <w:tcW w:w="3816" w:type="dxa"/>
            <w:tcBorders>
              <w:top w:val="single" w:sz="4" w:space="0" w:color="B7C9D6"/>
              <w:left w:val="single" w:sz="4" w:space="0" w:color="B7C9D6"/>
              <w:bottom w:val="single" w:sz="4" w:space="0" w:color="B7C9D6"/>
              <w:right w:val="single" w:sz="4" w:space="0" w:color="B7C9D6"/>
            </w:tcBorders>
            <w:shd w:val="clear" w:color="auto" w:fill="FFFFFF"/>
            <w:tcMar>
              <w:top w:w="70" w:type="dxa"/>
              <w:left w:w="80" w:type="dxa"/>
              <w:bottom w:w="70" w:type="dxa"/>
              <w:right w:w="80" w:type="dxa"/>
            </w:tcMar>
            <w:vAlign w:val="center"/>
          </w:tcPr>
          <w:p w14:paraId="0641508A" w14:textId="77777777" w:rsidR="003357E9" w:rsidRPr="00BA4F7F" w:rsidRDefault="00000000">
            <w:pPr>
              <w:spacing w:after="0"/>
            </w:pPr>
            <w:r w:rsidRPr="00BA4F7F">
              <w:rPr>
                <w:color w:val="1E1E1E"/>
                <w:sz w:val="14"/>
              </w:rPr>
              <w:t>K1 75 | K2 70 | K3 60 | K4 65</w:t>
            </w:r>
          </w:p>
        </w:tc>
        <w:tc>
          <w:tcPr>
            <w:tcW w:w="1080" w:type="dxa"/>
            <w:tcBorders>
              <w:top w:val="single" w:sz="4" w:space="0" w:color="B7C9D6"/>
              <w:left w:val="single" w:sz="4" w:space="0" w:color="B7C9D6"/>
              <w:bottom w:val="single" w:sz="4" w:space="0" w:color="B7C9D6"/>
              <w:right w:val="single" w:sz="4" w:space="0" w:color="B7C9D6"/>
            </w:tcBorders>
            <w:shd w:val="clear" w:color="auto" w:fill="FFFFFF"/>
            <w:tcMar>
              <w:top w:w="70" w:type="dxa"/>
              <w:left w:w="80" w:type="dxa"/>
              <w:bottom w:w="70" w:type="dxa"/>
              <w:right w:w="80" w:type="dxa"/>
            </w:tcMar>
            <w:vAlign w:val="center"/>
          </w:tcPr>
          <w:p w14:paraId="12BB853E" w14:textId="77777777" w:rsidR="003357E9" w:rsidRPr="00BA4F7F" w:rsidRDefault="00000000">
            <w:pPr>
              <w:spacing w:after="0"/>
            </w:pPr>
            <w:r w:rsidRPr="00BA4F7F">
              <w:rPr>
                <w:color w:val="1E1E1E"/>
                <w:sz w:val="14"/>
              </w:rPr>
              <w:t>67,5</w:t>
            </w:r>
          </w:p>
        </w:tc>
        <w:tc>
          <w:tcPr>
            <w:tcW w:w="792" w:type="dxa"/>
            <w:tcBorders>
              <w:top w:val="single" w:sz="4" w:space="0" w:color="B7C9D6"/>
              <w:left w:val="single" w:sz="4" w:space="0" w:color="B7C9D6"/>
              <w:bottom w:val="single" w:sz="4" w:space="0" w:color="B7C9D6"/>
              <w:right w:val="single" w:sz="4" w:space="0" w:color="B7C9D6"/>
            </w:tcBorders>
            <w:shd w:val="clear" w:color="auto" w:fill="FFFFFF"/>
            <w:tcMar>
              <w:top w:w="70" w:type="dxa"/>
              <w:left w:w="80" w:type="dxa"/>
              <w:bottom w:w="70" w:type="dxa"/>
              <w:right w:w="80" w:type="dxa"/>
            </w:tcMar>
            <w:vAlign w:val="center"/>
          </w:tcPr>
          <w:p w14:paraId="3EF35D76" w14:textId="77777777" w:rsidR="003357E9" w:rsidRPr="00BA4F7F" w:rsidRDefault="00000000">
            <w:pPr>
              <w:spacing w:after="0"/>
            </w:pPr>
            <w:r w:rsidRPr="00BA4F7F">
              <w:rPr>
                <w:color w:val="1E1E1E"/>
                <w:sz w:val="14"/>
              </w:rPr>
              <w:t>20%</w:t>
            </w:r>
          </w:p>
        </w:tc>
      </w:tr>
      <w:tr w:rsidR="00537CA0" w:rsidRPr="00BA4F7F" w14:paraId="45B106F2" w14:textId="77777777">
        <w:trPr>
          <w:cantSplit/>
          <w:jc w:val="center"/>
        </w:trPr>
        <w:tc>
          <w:tcPr>
            <w:tcW w:w="2088" w:type="dxa"/>
            <w:tcBorders>
              <w:top w:val="single" w:sz="4" w:space="0" w:color="B7C9D6"/>
              <w:left w:val="single" w:sz="4" w:space="0" w:color="B7C9D6"/>
              <w:bottom w:val="single" w:sz="4" w:space="0" w:color="B7C9D6"/>
              <w:right w:val="single" w:sz="4" w:space="0" w:color="B7C9D6"/>
            </w:tcBorders>
            <w:shd w:val="clear" w:color="auto" w:fill="EDF1F4"/>
            <w:tcMar>
              <w:top w:w="70" w:type="dxa"/>
              <w:left w:w="80" w:type="dxa"/>
              <w:bottom w:w="70" w:type="dxa"/>
              <w:right w:w="80" w:type="dxa"/>
            </w:tcMar>
            <w:vAlign w:val="center"/>
          </w:tcPr>
          <w:p w14:paraId="784668C5" w14:textId="77777777" w:rsidR="003357E9" w:rsidRPr="00BA4F7F" w:rsidRDefault="00000000">
            <w:pPr>
              <w:spacing w:after="0"/>
            </w:pPr>
            <w:r w:rsidRPr="00BA4F7F">
              <w:rPr>
                <w:color w:val="1E1E1E"/>
                <w:sz w:val="14"/>
              </w:rPr>
              <w:t>Usługi komercyjne</w:t>
            </w:r>
          </w:p>
        </w:tc>
        <w:tc>
          <w:tcPr>
            <w:tcW w:w="3816" w:type="dxa"/>
            <w:tcBorders>
              <w:top w:val="single" w:sz="4" w:space="0" w:color="B7C9D6"/>
              <w:left w:val="single" w:sz="4" w:space="0" w:color="B7C9D6"/>
              <w:bottom w:val="single" w:sz="4" w:space="0" w:color="B7C9D6"/>
              <w:right w:val="single" w:sz="4" w:space="0" w:color="B7C9D6"/>
            </w:tcBorders>
            <w:shd w:val="clear" w:color="auto" w:fill="EDF1F4"/>
            <w:tcMar>
              <w:top w:w="70" w:type="dxa"/>
              <w:left w:w="80" w:type="dxa"/>
              <w:bottom w:w="70" w:type="dxa"/>
              <w:right w:w="80" w:type="dxa"/>
            </w:tcMar>
            <w:vAlign w:val="center"/>
          </w:tcPr>
          <w:p w14:paraId="402E3DBC" w14:textId="77777777" w:rsidR="003357E9" w:rsidRPr="00BA4F7F" w:rsidRDefault="00000000">
            <w:pPr>
              <w:spacing w:after="0"/>
            </w:pPr>
            <w:r w:rsidRPr="00BA4F7F">
              <w:rPr>
                <w:color w:val="1E1E1E"/>
                <w:sz w:val="14"/>
              </w:rPr>
              <w:t>K1 85 | K2 85 | K3 85 | K4 90</w:t>
            </w:r>
          </w:p>
        </w:tc>
        <w:tc>
          <w:tcPr>
            <w:tcW w:w="1080" w:type="dxa"/>
            <w:tcBorders>
              <w:top w:val="single" w:sz="4" w:space="0" w:color="B7C9D6"/>
              <w:left w:val="single" w:sz="4" w:space="0" w:color="B7C9D6"/>
              <w:bottom w:val="single" w:sz="4" w:space="0" w:color="B7C9D6"/>
              <w:right w:val="single" w:sz="4" w:space="0" w:color="B7C9D6"/>
            </w:tcBorders>
            <w:shd w:val="clear" w:color="auto" w:fill="EDF1F4"/>
            <w:tcMar>
              <w:top w:w="70" w:type="dxa"/>
              <w:left w:w="80" w:type="dxa"/>
              <w:bottom w:w="70" w:type="dxa"/>
              <w:right w:w="80" w:type="dxa"/>
            </w:tcMar>
            <w:vAlign w:val="center"/>
          </w:tcPr>
          <w:p w14:paraId="49032BFD" w14:textId="77777777" w:rsidR="003357E9" w:rsidRPr="00BA4F7F" w:rsidRDefault="00000000">
            <w:pPr>
              <w:spacing w:after="0"/>
            </w:pPr>
            <w:r w:rsidRPr="00BA4F7F">
              <w:rPr>
                <w:color w:val="1E1E1E"/>
                <w:sz w:val="14"/>
              </w:rPr>
              <w:t>86,3</w:t>
            </w:r>
          </w:p>
        </w:tc>
        <w:tc>
          <w:tcPr>
            <w:tcW w:w="792" w:type="dxa"/>
            <w:tcBorders>
              <w:top w:val="single" w:sz="4" w:space="0" w:color="B7C9D6"/>
              <w:left w:val="single" w:sz="4" w:space="0" w:color="B7C9D6"/>
              <w:bottom w:val="single" w:sz="4" w:space="0" w:color="B7C9D6"/>
              <w:right w:val="single" w:sz="4" w:space="0" w:color="B7C9D6"/>
            </w:tcBorders>
            <w:shd w:val="clear" w:color="auto" w:fill="EDF1F4"/>
            <w:tcMar>
              <w:top w:w="70" w:type="dxa"/>
              <w:left w:w="80" w:type="dxa"/>
              <w:bottom w:w="70" w:type="dxa"/>
              <w:right w:w="80" w:type="dxa"/>
            </w:tcMar>
            <w:vAlign w:val="center"/>
          </w:tcPr>
          <w:p w14:paraId="19BB68D2" w14:textId="77777777" w:rsidR="003357E9" w:rsidRPr="00BA4F7F" w:rsidRDefault="00000000">
            <w:pPr>
              <w:spacing w:after="0"/>
            </w:pPr>
            <w:r w:rsidRPr="00BA4F7F">
              <w:rPr>
                <w:color w:val="1E1E1E"/>
                <w:sz w:val="14"/>
              </w:rPr>
              <w:t>20%</w:t>
            </w:r>
          </w:p>
        </w:tc>
      </w:tr>
      <w:tr w:rsidR="00537CA0" w:rsidRPr="00BA4F7F" w14:paraId="2EAC7982" w14:textId="77777777">
        <w:trPr>
          <w:cantSplit/>
          <w:jc w:val="center"/>
        </w:trPr>
        <w:tc>
          <w:tcPr>
            <w:tcW w:w="2088" w:type="dxa"/>
            <w:tcBorders>
              <w:top w:val="single" w:sz="4" w:space="0" w:color="B7C9D6"/>
              <w:left w:val="single" w:sz="4" w:space="0" w:color="B7C9D6"/>
              <w:bottom w:val="single" w:sz="4" w:space="0" w:color="B7C9D6"/>
              <w:right w:val="single" w:sz="4" w:space="0" w:color="B7C9D6"/>
            </w:tcBorders>
            <w:shd w:val="clear" w:color="auto" w:fill="FFFFFF"/>
            <w:tcMar>
              <w:top w:w="70" w:type="dxa"/>
              <w:left w:w="80" w:type="dxa"/>
              <w:bottom w:w="70" w:type="dxa"/>
              <w:right w:w="80" w:type="dxa"/>
            </w:tcMar>
            <w:vAlign w:val="center"/>
          </w:tcPr>
          <w:p w14:paraId="336456C5" w14:textId="77777777" w:rsidR="003357E9" w:rsidRPr="00BA4F7F" w:rsidRDefault="00000000">
            <w:pPr>
              <w:spacing w:after="0"/>
            </w:pPr>
            <w:proofErr w:type="spellStart"/>
            <w:r w:rsidRPr="00BA4F7F">
              <w:rPr>
                <w:color w:val="1E1E1E"/>
                <w:sz w:val="14"/>
              </w:rPr>
              <w:t>Cyberbezpieczeństwo</w:t>
            </w:r>
            <w:proofErr w:type="spellEnd"/>
          </w:p>
        </w:tc>
        <w:tc>
          <w:tcPr>
            <w:tcW w:w="3816" w:type="dxa"/>
            <w:tcBorders>
              <w:top w:val="single" w:sz="4" w:space="0" w:color="B7C9D6"/>
              <w:left w:val="single" w:sz="4" w:space="0" w:color="B7C9D6"/>
              <w:bottom w:val="single" w:sz="4" w:space="0" w:color="B7C9D6"/>
              <w:right w:val="single" w:sz="4" w:space="0" w:color="B7C9D6"/>
            </w:tcBorders>
            <w:shd w:val="clear" w:color="auto" w:fill="FFFFFF"/>
            <w:tcMar>
              <w:top w:w="70" w:type="dxa"/>
              <w:left w:w="80" w:type="dxa"/>
              <w:bottom w:w="70" w:type="dxa"/>
              <w:right w:w="80" w:type="dxa"/>
            </w:tcMar>
            <w:vAlign w:val="center"/>
          </w:tcPr>
          <w:p w14:paraId="2B6189C7" w14:textId="77777777" w:rsidR="003357E9" w:rsidRPr="00BA4F7F" w:rsidRDefault="00000000">
            <w:pPr>
              <w:spacing w:after="0"/>
            </w:pPr>
            <w:r w:rsidRPr="00BA4F7F">
              <w:rPr>
                <w:color w:val="1E1E1E"/>
                <w:sz w:val="14"/>
              </w:rPr>
              <w:t>K1 50 | K2 50 | K3 60 | K4 55</w:t>
            </w:r>
          </w:p>
        </w:tc>
        <w:tc>
          <w:tcPr>
            <w:tcW w:w="1080" w:type="dxa"/>
            <w:tcBorders>
              <w:top w:val="single" w:sz="4" w:space="0" w:color="B7C9D6"/>
              <w:left w:val="single" w:sz="4" w:space="0" w:color="B7C9D6"/>
              <w:bottom w:val="single" w:sz="4" w:space="0" w:color="B7C9D6"/>
              <w:right w:val="single" w:sz="4" w:space="0" w:color="B7C9D6"/>
            </w:tcBorders>
            <w:shd w:val="clear" w:color="auto" w:fill="FFFFFF"/>
            <w:tcMar>
              <w:top w:w="70" w:type="dxa"/>
              <w:left w:w="80" w:type="dxa"/>
              <w:bottom w:w="70" w:type="dxa"/>
              <w:right w:w="80" w:type="dxa"/>
            </w:tcMar>
            <w:vAlign w:val="center"/>
          </w:tcPr>
          <w:p w14:paraId="57EF5256" w14:textId="77777777" w:rsidR="003357E9" w:rsidRPr="00BA4F7F" w:rsidRDefault="00000000">
            <w:pPr>
              <w:spacing w:after="0"/>
            </w:pPr>
            <w:r w:rsidRPr="00BA4F7F">
              <w:rPr>
                <w:color w:val="1E1E1E"/>
                <w:sz w:val="14"/>
              </w:rPr>
              <w:t>53,8</w:t>
            </w:r>
          </w:p>
        </w:tc>
        <w:tc>
          <w:tcPr>
            <w:tcW w:w="792" w:type="dxa"/>
            <w:tcBorders>
              <w:top w:val="single" w:sz="4" w:space="0" w:color="B7C9D6"/>
              <w:left w:val="single" w:sz="4" w:space="0" w:color="B7C9D6"/>
              <w:bottom w:val="single" w:sz="4" w:space="0" w:color="B7C9D6"/>
              <w:right w:val="single" w:sz="4" w:space="0" w:color="B7C9D6"/>
            </w:tcBorders>
            <w:shd w:val="clear" w:color="auto" w:fill="FFFFFF"/>
            <w:tcMar>
              <w:top w:w="70" w:type="dxa"/>
              <w:left w:w="80" w:type="dxa"/>
              <w:bottom w:w="70" w:type="dxa"/>
              <w:right w:w="80" w:type="dxa"/>
            </w:tcMar>
            <w:vAlign w:val="center"/>
          </w:tcPr>
          <w:p w14:paraId="13368C2E" w14:textId="77777777" w:rsidR="003357E9" w:rsidRPr="00BA4F7F" w:rsidRDefault="00000000">
            <w:pPr>
              <w:spacing w:after="0"/>
            </w:pPr>
            <w:r w:rsidRPr="00BA4F7F">
              <w:rPr>
                <w:color w:val="1E1E1E"/>
                <w:sz w:val="14"/>
              </w:rPr>
              <w:t>20%</w:t>
            </w:r>
          </w:p>
        </w:tc>
      </w:tr>
      <w:tr w:rsidR="00537CA0" w:rsidRPr="00BA4F7F" w14:paraId="75536ACD" w14:textId="77777777">
        <w:trPr>
          <w:cantSplit/>
          <w:jc w:val="center"/>
        </w:trPr>
        <w:tc>
          <w:tcPr>
            <w:tcW w:w="2088" w:type="dxa"/>
            <w:tcBorders>
              <w:top w:val="single" w:sz="4" w:space="0" w:color="B7C9D6"/>
              <w:left w:val="single" w:sz="4" w:space="0" w:color="B7C9D6"/>
              <w:bottom w:val="single" w:sz="4" w:space="0" w:color="B7C9D6"/>
              <w:right w:val="single" w:sz="4" w:space="0" w:color="B7C9D6"/>
            </w:tcBorders>
            <w:shd w:val="clear" w:color="auto" w:fill="EDF1F4"/>
            <w:tcMar>
              <w:top w:w="70" w:type="dxa"/>
              <w:left w:w="80" w:type="dxa"/>
              <w:bottom w:w="70" w:type="dxa"/>
              <w:right w:w="80" w:type="dxa"/>
            </w:tcMar>
            <w:vAlign w:val="center"/>
          </w:tcPr>
          <w:p w14:paraId="29BE3DEE" w14:textId="77777777" w:rsidR="003357E9" w:rsidRPr="00BA4F7F" w:rsidRDefault="00000000">
            <w:pPr>
              <w:spacing w:after="0"/>
            </w:pPr>
            <w:r w:rsidRPr="00BA4F7F">
              <w:rPr>
                <w:color w:val="1E1E1E"/>
                <w:sz w:val="14"/>
              </w:rPr>
              <w:t>Technologie przełomowe</w:t>
            </w:r>
          </w:p>
        </w:tc>
        <w:tc>
          <w:tcPr>
            <w:tcW w:w="3816" w:type="dxa"/>
            <w:tcBorders>
              <w:top w:val="single" w:sz="4" w:space="0" w:color="B7C9D6"/>
              <w:left w:val="single" w:sz="4" w:space="0" w:color="B7C9D6"/>
              <w:bottom w:val="single" w:sz="4" w:space="0" w:color="B7C9D6"/>
              <w:right w:val="single" w:sz="4" w:space="0" w:color="B7C9D6"/>
            </w:tcBorders>
            <w:shd w:val="clear" w:color="auto" w:fill="EDF1F4"/>
            <w:tcMar>
              <w:top w:w="70" w:type="dxa"/>
              <w:left w:w="80" w:type="dxa"/>
              <w:bottom w:w="70" w:type="dxa"/>
              <w:right w:w="80" w:type="dxa"/>
            </w:tcMar>
            <w:vAlign w:val="center"/>
          </w:tcPr>
          <w:p w14:paraId="025A94CD" w14:textId="77777777" w:rsidR="003357E9" w:rsidRPr="00BA4F7F" w:rsidRDefault="00000000">
            <w:pPr>
              <w:spacing w:after="0"/>
            </w:pPr>
            <w:r w:rsidRPr="00BA4F7F">
              <w:rPr>
                <w:color w:val="1E1E1E"/>
                <w:sz w:val="14"/>
              </w:rPr>
              <w:t>K1 65 | K2 40 | K3 65 | K4 65</w:t>
            </w:r>
          </w:p>
        </w:tc>
        <w:tc>
          <w:tcPr>
            <w:tcW w:w="1080" w:type="dxa"/>
            <w:tcBorders>
              <w:top w:val="single" w:sz="4" w:space="0" w:color="B7C9D6"/>
              <w:left w:val="single" w:sz="4" w:space="0" w:color="B7C9D6"/>
              <w:bottom w:val="single" w:sz="4" w:space="0" w:color="B7C9D6"/>
              <w:right w:val="single" w:sz="4" w:space="0" w:color="B7C9D6"/>
            </w:tcBorders>
            <w:shd w:val="clear" w:color="auto" w:fill="EDF1F4"/>
            <w:tcMar>
              <w:top w:w="70" w:type="dxa"/>
              <w:left w:w="80" w:type="dxa"/>
              <w:bottom w:w="70" w:type="dxa"/>
              <w:right w:w="80" w:type="dxa"/>
            </w:tcMar>
            <w:vAlign w:val="center"/>
          </w:tcPr>
          <w:p w14:paraId="680B3EEF" w14:textId="77777777" w:rsidR="003357E9" w:rsidRPr="00BA4F7F" w:rsidRDefault="00000000">
            <w:pPr>
              <w:spacing w:after="0"/>
            </w:pPr>
            <w:r w:rsidRPr="00BA4F7F">
              <w:rPr>
                <w:color w:val="1E1E1E"/>
                <w:sz w:val="14"/>
              </w:rPr>
              <w:t>58,8</w:t>
            </w:r>
          </w:p>
        </w:tc>
        <w:tc>
          <w:tcPr>
            <w:tcW w:w="792" w:type="dxa"/>
            <w:tcBorders>
              <w:top w:val="single" w:sz="4" w:space="0" w:color="B7C9D6"/>
              <w:left w:val="single" w:sz="4" w:space="0" w:color="B7C9D6"/>
              <w:bottom w:val="single" w:sz="4" w:space="0" w:color="B7C9D6"/>
              <w:right w:val="single" w:sz="4" w:space="0" w:color="B7C9D6"/>
            </w:tcBorders>
            <w:shd w:val="clear" w:color="auto" w:fill="EDF1F4"/>
            <w:tcMar>
              <w:top w:w="70" w:type="dxa"/>
              <w:left w:w="80" w:type="dxa"/>
              <w:bottom w:w="70" w:type="dxa"/>
              <w:right w:w="80" w:type="dxa"/>
            </w:tcMar>
            <w:vAlign w:val="center"/>
          </w:tcPr>
          <w:p w14:paraId="127A3517" w14:textId="77777777" w:rsidR="003357E9" w:rsidRPr="00BA4F7F" w:rsidRDefault="00000000">
            <w:pPr>
              <w:spacing w:after="0"/>
            </w:pPr>
            <w:r w:rsidRPr="00BA4F7F">
              <w:rPr>
                <w:color w:val="1E1E1E"/>
                <w:sz w:val="14"/>
              </w:rPr>
              <w:t>20%</w:t>
            </w:r>
          </w:p>
        </w:tc>
      </w:tr>
      <w:tr w:rsidR="00537CA0" w:rsidRPr="00BA4F7F" w14:paraId="3554BE71" w14:textId="77777777">
        <w:trPr>
          <w:cantSplit/>
          <w:jc w:val="center"/>
        </w:trPr>
        <w:tc>
          <w:tcPr>
            <w:tcW w:w="2088" w:type="dxa"/>
            <w:tcBorders>
              <w:top w:val="single" w:sz="4" w:space="0" w:color="B7C9D6"/>
              <w:left w:val="single" w:sz="4" w:space="0" w:color="B7C9D6"/>
              <w:bottom w:val="single" w:sz="4" w:space="0" w:color="B7C9D6"/>
              <w:right w:val="single" w:sz="4" w:space="0" w:color="B7C9D6"/>
            </w:tcBorders>
            <w:shd w:val="clear" w:color="auto" w:fill="FFFFFF"/>
            <w:tcMar>
              <w:top w:w="70" w:type="dxa"/>
              <w:left w:w="80" w:type="dxa"/>
              <w:bottom w:w="70" w:type="dxa"/>
              <w:right w:w="80" w:type="dxa"/>
            </w:tcMar>
            <w:vAlign w:val="center"/>
          </w:tcPr>
          <w:p w14:paraId="1C352433" w14:textId="77777777" w:rsidR="003357E9" w:rsidRPr="00BA4F7F" w:rsidRDefault="00000000">
            <w:pPr>
              <w:spacing w:after="0"/>
            </w:pPr>
            <w:r w:rsidRPr="00BA4F7F">
              <w:rPr>
                <w:color w:val="1E1E1E"/>
                <w:sz w:val="14"/>
              </w:rPr>
              <w:t>Ramy ekosystemu</w:t>
            </w:r>
          </w:p>
        </w:tc>
        <w:tc>
          <w:tcPr>
            <w:tcW w:w="3816" w:type="dxa"/>
            <w:tcBorders>
              <w:top w:val="single" w:sz="4" w:space="0" w:color="B7C9D6"/>
              <w:left w:val="single" w:sz="4" w:space="0" w:color="B7C9D6"/>
              <w:bottom w:val="single" w:sz="4" w:space="0" w:color="B7C9D6"/>
              <w:right w:val="single" w:sz="4" w:space="0" w:color="B7C9D6"/>
            </w:tcBorders>
            <w:shd w:val="clear" w:color="auto" w:fill="FFFFFF"/>
            <w:tcMar>
              <w:top w:w="70" w:type="dxa"/>
              <w:left w:w="80" w:type="dxa"/>
              <w:bottom w:w="70" w:type="dxa"/>
              <w:right w:w="80" w:type="dxa"/>
            </w:tcMar>
            <w:vAlign w:val="center"/>
          </w:tcPr>
          <w:p w14:paraId="3DBA7765" w14:textId="77777777" w:rsidR="003357E9" w:rsidRPr="00BA4F7F" w:rsidRDefault="00000000">
            <w:pPr>
              <w:spacing w:after="0"/>
            </w:pPr>
            <w:r w:rsidRPr="00BA4F7F">
              <w:rPr>
                <w:color w:val="1E1E1E"/>
                <w:sz w:val="14"/>
              </w:rPr>
              <w:t>K1 75 | K2 65 | K3 60 | K4 45</w:t>
            </w:r>
          </w:p>
        </w:tc>
        <w:tc>
          <w:tcPr>
            <w:tcW w:w="1080" w:type="dxa"/>
            <w:tcBorders>
              <w:top w:val="single" w:sz="4" w:space="0" w:color="B7C9D6"/>
              <w:left w:val="single" w:sz="4" w:space="0" w:color="B7C9D6"/>
              <w:bottom w:val="single" w:sz="4" w:space="0" w:color="B7C9D6"/>
              <w:right w:val="single" w:sz="4" w:space="0" w:color="B7C9D6"/>
            </w:tcBorders>
            <w:shd w:val="clear" w:color="auto" w:fill="FFFFFF"/>
            <w:tcMar>
              <w:top w:w="70" w:type="dxa"/>
              <w:left w:w="80" w:type="dxa"/>
              <w:bottom w:w="70" w:type="dxa"/>
              <w:right w:w="80" w:type="dxa"/>
            </w:tcMar>
            <w:vAlign w:val="center"/>
          </w:tcPr>
          <w:p w14:paraId="35832061" w14:textId="77777777" w:rsidR="003357E9" w:rsidRPr="00BA4F7F" w:rsidRDefault="00000000">
            <w:pPr>
              <w:spacing w:after="0"/>
            </w:pPr>
            <w:r w:rsidRPr="00BA4F7F">
              <w:rPr>
                <w:color w:val="1E1E1E"/>
                <w:sz w:val="14"/>
              </w:rPr>
              <w:t>61,3</w:t>
            </w:r>
          </w:p>
        </w:tc>
        <w:tc>
          <w:tcPr>
            <w:tcW w:w="792" w:type="dxa"/>
            <w:tcBorders>
              <w:top w:val="single" w:sz="4" w:space="0" w:color="B7C9D6"/>
              <w:left w:val="single" w:sz="4" w:space="0" w:color="B7C9D6"/>
              <w:bottom w:val="single" w:sz="4" w:space="0" w:color="B7C9D6"/>
              <w:right w:val="single" w:sz="4" w:space="0" w:color="B7C9D6"/>
            </w:tcBorders>
            <w:shd w:val="clear" w:color="auto" w:fill="FFFFFF"/>
            <w:tcMar>
              <w:top w:w="70" w:type="dxa"/>
              <w:left w:w="80" w:type="dxa"/>
              <w:bottom w:w="70" w:type="dxa"/>
              <w:right w:w="80" w:type="dxa"/>
            </w:tcMar>
            <w:vAlign w:val="center"/>
          </w:tcPr>
          <w:p w14:paraId="027DF60B" w14:textId="77777777" w:rsidR="003357E9" w:rsidRPr="00BA4F7F" w:rsidRDefault="00000000">
            <w:pPr>
              <w:spacing w:after="0"/>
            </w:pPr>
            <w:r w:rsidRPr="00BA4F7F">
              <w:rPr>
                <w:color w:val="1E1E1E"/>
                <w:sz w:val="14"/>
              </w:rPr>
              <w:t>20%</w:t>
            </w:r>
          </w:p>
        </w:tc>
      </w:tr>
    </w:tbl>
    <w:p w14:paraId="0F1AC29B" w14:textId="77777777" w:rsidR="00537CA0" w:rsidRPr="00BA4F7F" w:rsidRDefault="00537CA0">
      <w:pPr>
        <w:spacing w:after="20"/>
      </w:pPr>
    </w:p>
    <w:p w14:paraId="10A87EB7" w14:textId="77777777" w:rsidR="00537CA0" w:rsidRPr="00BA4F7F" w:rsidRDefault="00000000">
      <w:pPr>
        <w:keepLines/>
        <w:spacing w:after="30" w:line="240" w:lineRule="auto"/>
      </w:pPr>
      <w:r w:rsidRPr="00BA4F7F">
        <w:t xml:space="preserve">Funkcja w IRS i sposób liczenia. Cyfryzacja mierzy pięć równoważnych rodzin zdolności: usługi cyfrowe sektora publicznego, usługi komercyjne, </w:t>
      </w:r>
      <w:proofErr w:type="spellStart"/>
      <w:r w:rsidRPr="00BA4F7F">
        <w:t>cyberbezpieczeństwo</w:t>
      </w:r>
      <w:proofErr w:type="spellEnd"/>
      <w:r w:rsidRPr="00BA4F7F">
        <w:t>, technologie przełomowe oraz ramy ekosystemu. Każda ma wagę 20%, a wynik roczny jest średnią K1 – efekt strategiczny, K2 – harmonogram, K3 – zakres oraz K4 – zarządzanie. Model ocenia więc nie tylko popularność aplikacji, lecz także dane, chmurę, regulacje, bezpieczeństwo, naukę, inwestycje i zdolność utrzymania usług.</w:t>
      </w:r>
    </w:p>
    <w:p w14:paraId="2B11F41F" w14:textId="77777777" w:rsidR="00537CA0" w:rsidRPr="00BA4F7F" w:rsidRDefault="00000000">
      <w:pPr>
        <w:keepLines/>
        <w:spacing w:after="30" w:line="240" w:lineRule="auto"/>
      </w:pPr>
      <w:r w:rsidRPr="00BA4F7F">
        <w:t>Trend 2020–2025. Wynik obniżył się z 75,5 pkt do 65,5 pkt, czyli o 10,0 pkt. Spadek nie oznacza prostego regresu technologicznego. W 2020 r. pandemia silnie podniosła znaczenie i tempo wdrożeń zdalnych, natomiast późniejsze lata ujawniły różnicę między skalą użytkowania kanałów cyfrowych a dojrzałością całego zaplecza. Po minimum 62,3 pkt w 2024 r. nastąpiło częściowe odbicie, lecz nie powrót do wcześniejszej ścieżki.</w:t>
      </w:r>
    </w:p>
    <w:p w14:paraId="6ACF013B" w14:textId="77777777" w:rsidR="00537CA0" w:rsidRPr="00BA4F7F" w:rsidRDefault="00000000">
      <w:pPr>
        <w:keepLines/>
        <w:spacing w:after="30" w:line="240" w:lineRule="auto"/>
      </w:pPr>
      <w:r w:rsidRPr="00BA4F7F">
        <w:t xml:space="preserve">Pięć rodzin zdolności. Usługi komercyjne osiągają 86,3 pkt i są jedyną rodziną, w której wszystkie kryteria wynoszą co najmniej 85 pkt: sektor finansowy, e-commerce, logistyka i usługi szybko skalują AI, a DORA została wdrożona bez widocznych zakłóceń. Usługi publiczne uzyskują 67,5 pkt: </w:t>
      </w:r>
      <w:proofErr w:type="spellStart"/>
      <w:r w:rsidRPr="00BA4F7F">
        <w:t>mObywatel</w:t>
      </w:r>
      <w:proofErr w:type="spellEnd"/>
      <w:r w:rsidRPr="00BA4F7F">
        <w:t xml:space="preserve">, EZD RP, e-Doręczenia i cyfryzacja edukacji tworzą trwałe aktywa, lecz K3 wynosi 60 pkt, a K4 65 pkt z powodu opóźnień </w:t>
      </w:r>
      <w:proofErr w:type="spellStart"/>
      <w:r w:rsidRPr="00BA4F7F">
        <w:t>KSeF</w:t>
      </w:r>
      <w:proofErr w:type="spellEnd"/>
      <w:r w:rsidRPr="00BA4F7F">
        <w:t>, braku przełomu w ustawie o informatyzacji oraz nadal niepełnej koordynacji portfela państwa.</w:t>
      </w:r>
    </w:p>
    <w:p w14:paraId="226F2893" w14:textId="77777777" w:rsidR="00537CA0" w:rsidRPr="00BA4F7F" w:rsidRDefault="00000000">
      <w:pPr>
        <w:keepLines/>
        <w:spacing w:after="80" w:line="250" w:lineRule="auto"/>
      </w:pPr>
      <w:r w:rsidRPr="00BA4F7F">
        <w:t xml:space="preserve">Słabszy „tył systemu”. </w:t>
      </w:r>
      <w:proofErr w:type="spellStart"/>
      <w:r w:rsidRPr="00BA4F7F">
        <w:t>Cyberbezpieczeństwo</w:t>
      </w:r>
      <w:proofErr w:type="spellEnd"/>
      <w:r w:rsidRPr="00BA4F7F">
        <w:t xml:space="preserve"> pozostaje na poziomie 53,8 pkt – wszystkie kryteria mieszczą się między 50 a 60 pkt. Komentarze modelu wskazują na niedobór kadr, wielomiesięczne opóźnienia NIS2 i CER, zastój łączności specjalnej oraz przewagę zbierania informacji o incydentach nad prewencją, odtwarzaniem i ciągłością działania. Technologie przełomowe osiągają 58,8 pkt: fabryki AI, </w:t>
      </w:r>
      <w:proofErr w:type="spellStart"/>
      <w:r w:rsidRPr="00BA4F7F">
        <w:t>PLLuM</w:t>
      </w:r>
      <w:proofErr w:type="spellEnd"/>
      <w:r w:rsidRPr="00BA4F7F">
        <w:t xml:space="preserve"> i odbudowa IDEAS podnoszą K1 i K3 do 65 pkt, lecz K2 wynosi tylko 40 pkt z powodu opóźnień, utraconego czasu oraz niepewności wokół KCPD i ZUCH. Ramy ekosystemu uzyskują 61,3 pkt; ich najsłabszym kryterium jest zarządzanie – 45 pkt – co odzwierciedla opóźnienia regulacyjne, brak spójnej koordynacji, utratę części zaufania po zmianach organizacyjnych i niewystarczające przełożenie nauki na skalowanie technologii.</w:t>
      </w:r>
    </w:p>
    <w:p w14:paraId="1D7457DC" w14:textId="77777777" w:rsidR="003357E9" w:rsidRPr="00BA4F7F" w:rsidRDefault="00000000">
      <w:r w:rsidRPr="00BA4F7F">
        <w:t>Znaczenie dla racji stanu i wniosek. Cyfryzacja stała się warstwą zależności dla zdrowia, podatków, finansów, obronności i usług lokalnych. Polska jest dojrzalsza jako rynek, użytkownik i dostawca usług niż jako właściciel spójnej architektury danych, chmury, bezpieczeństwa i skalowania innowacji. Zewnętrzna diagnoza Komisji Europejskiej z 2026 r. również wskazuje na postęp usług publicznych przy utrzymujących się lukach w wykorzystaniu zaawansowanych technologii. Cyfrowa suwerenność nie oznacza autarkii, lecz zdolność świadomego wyboru dostawcy, migracji, audytu, odtworzenia i utrzymania ciągłości przez cały cykl życia.</w:t>
      </w:r>
    </w:p>
    <w:tbl>
      <w:tblPr>
        <w:tblW w:w="0" w:type="auto"/>
        <w:jc w:val="center"/>
        <w:tblLayout w:type="fixed"/>
        <w:tblLook w:val="04A0" w:firstRow="1" w:lastRow="0" w:firstColumn="1" w:lastColumn="0" w:noHBand="0" w:noVBand="1"/>
      </w:tblPr>
      <w:tblGrid>
        <w:gridCol w:w="1474"/>
        <w:gridCol w:w="7540"/>
      </w:tblGrid>
      <w:tr w:rsidR="00537CA0" w:rsidRPr="00BA4F7F" w14:paraId="049D0AC6"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135B5F34"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335FFDEC" w14:textId="77777777" w:rsidR="00537CA0" w:rsidRPr="00BA4F7F" w:rsidRDefault="00000000">
            <w:pPr>
              <w:spacing w:after="0" w:line="240" w:lineRule="auto"/>
              <w:jc w:val="left"/>
            </w:pPr>
            <w:r w:rsidRPr="00BA4F7F">
              <w:rPr>
                <w:color w:val="222222"/>
                <w:sz w:val="15"/>
              </w:rPr>
              <w:t xml:space="preserve">Jedna architektura danych i odpowiedzialności, praktyczny model chmurowy, terminowe wdrożenie regulacji, skoordynowane </w:t>
            </w:r>
            <w:proofErr w:type="spellStart"/>
            <w:r w:rsidRPr="00BA4F7F">
              <w:rPr>
                <w:color w:val="222222"/>
                <w:sz w:val="15"/>
              </w:rPr>
              <w:t>cyberbezpieczeństwo</w:t>
            </w:r>
            <w:proofErr w:type="spellEnd"/>
            <w:r w:rsidRPr="00BA4F7F">
              <w:rPr>
                <w:color w:val="222222"/>
                <w:sz w:val="15"/>
              </w:rPr>
              <w:t xml:space="preserve"> oraz selekcja projektów AI według funkcji, ryzyka i kosztu utrzymania.</w:t>
            </w:r>
          </w:p>
        </w:tc>
      </w:tr>
      <w:tr w:rsidR="00537CA0" w:rsidRPr="00BA4F7F" w14:paraId="2C1B8B78"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17B2FEB6"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48E2491C" w14:textId="77777777" w:rsidR="00537CA0" w:rsidRPr="00BA4F7F" w:rsidRDefault="00000000">
            <w:pPr>
              <w:spacing w:after="0" w:line="240" w:lineRule="auto"/>
              <w:jc w:val="left"/>
            </w:pPr>
            <w:r w:rsidRPr="00BA4F7F">
              <w:rPr>
                <w:color w:val="222222"/>
                <w:sz w:val="15"/>
              </w:rPr>
              <w:t>Interoperacyjność rejestrów, ćwiczenia ciągłości i odtworzenia, mniej silosów i przerw, terminowa implementacja regulacji oraz mierzalne wykorzystanie technologii w procesach państwa, nie tylko liczba uruchomionych projektów.</w:t>
            </w:r>
          </w:p>
        </w:tc>
      </w:tr>
    </w:tbl>
    <w:p w14:paraId="37C23B55" w14:textId="77777777" w:rsidR="00537CA0" w:rsidRPr="00BA4F7F" w:rsidRDefault="00000000">
      <w:pPr>
        <w:pStyle w:val="SourceNote"/>
        <w:keepLines/>
        <w:spacing w:before="30" w:after="0"/>
        <w:rPr>
          <w:lang w:val="pl-PL"/>
        </w:rPr>
      </w:pPr>
      <w:r w:rsidRPr="00BA4F7F">
        <w:rPr>
          <w:lang w:val="pl-PL"/>
        </w:rPr>
        <w:t>.</w:t>
      </w:r>
    </w:p>
    <w:p w14:paraId="316B0352" w14:textId="77777777" w:rsidR="00537CA0" w:rsidRPr="00BA4F7F" w:rsidRDefault="00000000">
      <w:pPr>
        <w:spacing w:after="0"/>
      </w:pPr>
      <w:r w:rsidRPr="00BA4F7F">
        <w:br w:type="page"/>
      </w:r>
    </w:p>
    <w:p w14:paraId="716B39A7" w14:textId="77777777" w:rsidR="00537CA0" w:rsidRPr="00BA4F7F" w:rsidRDefault="00000000">
      <w:pPr>
        <w:pStyle w:val="Nagwek2"/>
        <w:spacing w:before="0" w:after="60"/>
      </w:pPr>
      <w:r w:rsidRPr="00BA4F7F">
        <w:rPr>
          <w:rFonts w:ascii="Aptos Display" w:hAnsi="Aptos Display"/>
          <w:sz w:val="30"/>
        </w:rPr>
        <w:lastRenderedPageBreak/>
        <w:t>14A.16. Modernizacja obronna i przemysł obronny</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32316D3C"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398FA5D8" w14:textId="77777777" w:rsidR="00537CA0" w:rsidRPr="00BA4F7F" w:rsidRDefault="00000000">
            <w:pPr>
              <w:spacing w:after="0" w:line="240" w:lineRule="auto"/>
              <w:jc w:val="left"/>
            </w:pPr>
            <w:r w:rsidRPr="00BA4F7F">
              <w:rPr>
                <w:rFonts w:ascii="Aptos" w:hAnsi="Aptos"/>
                <w:b/>
                <w:color w:val="FFFFFF"/>
                <w:sz w:val="14"/>
              </w:rPr>
              <w:t>WYNIK 2025</w:t>
            </w:r>
            <w:r w:rsidRPr="00BA4F7F">
              <w:rPr>
                <w:rFonts w:ascii="Aptos" w:hAnsi="Aptos"/>
                <w:b/>
                <w:color w:val="FFFFFF"/>
                <w:sz w:val="14"/>
              </w:rPr>
              <w:br/>
            </w:r>
            <w:r w:rsidRPr="00BA4F7F">
              <w:rPr>
                <w:rFonts w:ascii="Aptos" w:hAnsi="Aptos"/>
                <w:b/>
                <w:color w:val="FFFFFF"/>
                <w:sz w:val="34"/>
              </w:rPr>
              <w:t>88,1</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56DA11C7" w14:textId="77777777" w:rsidR="00537CA0" w:rsidRPr="00BA4F7F" w:rsidRDefault="00000000">
            <w:pPr>
              <w:spacing w:after="0" w:line="240" w:lineRule="auto"/>
              <w:jc w:val="left"/>
            </w:pPr>
            <w:r w:rsidRPr="00BA4F7F">
              <w:rPr>
                <w:rFonts w:ascii="Aptos" w:hAnsi="Aptos"/>
                <w:b/>
                <w:color w:val="FFFFFF"/>
                <w:sz w:val="14"/>
              </w:rPr>
              <w:t>ZMIANA 2020–2025</w:t>
            </w:r>
            <w:r w:rsidRPr="00BA4F7F">
              <w:rPr>
                <w:rFonts w:ascii="Aptos" w:hAnsi="Aptos"/>
                <w:b/>
                <w:color w:val="FFFFFF"/>
                <w:sz w:val="14"/>
              </w:rPr>
              <w:br/>
            </w:r>
            <w:r w:rsidRPr="00BA4F7F">
              <w:rPr>
                <w:rFonts w:ascii="Aptos" w:hAnsi="Aptos"/>
                <w:b/>
                <w:color w:val="FFFFFF"/>
                <w:sz w:val="34"/>
              </w:rPr>
              <w:t>+5,6</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06E8F5FC"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wysoka odporność / silna zdolność</w:t>
            </w:r>
          </w:p>
        </w:tc>
      </w:tr>
    </w:tbl>
    <w:p w14:paraId="2D38627A" w14:textId="77777777" w:rsidR="00537CA0" w:rsidRPr="00BA4F7F" w:rsidRDefault="00000000">
      <w:pPr>
        <w:keepLines/>
        <w:spacing w:before="20" w:after="30"/>
        <w:jc w:val="center"/>
      </w:pPr>
      <w:r w:rsidRPr="00BA4F7F">
        <w:rPr>
          <w:noProof/>
        </w:rPr>
        <w:drawing>
          <wp:inline distT="0" distB="0" distL="0" distR="0" wp14:anchorId="5437DC8F" wp14:editId="7E154026">
            <wp:extent cx="5688000" cy="1119880"/>
            <wp:effectExtent l="0" t="0" r="0" b="0"/>
            <wp:docPr id="1690576336" name="Picture 1690576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16.png"/>
                    <pic:cNvPicPr/>
                  </pic:nvPicPr>
                  <pic:blipFill>
                    <a:blip r:embed="rId40"/>
                    <a:stretch>
                      <a:fillRect/>
                    </a:stretch>
                  </pic:blipFill>
                  <pic:spPr>
                    <a:xfrm>
                      <a:off x="0" y="0"/>
                      <a:ext cx="5688000" cy="1119880"/>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3969"/>
        <w:gridCol w:w="2154"/>
        <w:gridCol w:w="1531"/>
        <w:gridCol w:w="1361"/>
      </w:tblGrid>
      <w:tr w:rsidR="00537CA0" w:rsidRPr="00BA4F7F" w14:paraId="2B9E8A97" w14:textId="77777777">
        <w:trPr>
          <w:cantSplit/>
          <w:tblHeader/>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6726A754" w14:textId="77777777" w:rsidR="00537CA0" w:rsidRPr="00BA4F7F" w:rsidRDefault="00000000">
            <w:pPr>
              <w:spacing w:after="0"/>
              <w:jc w:val="center"/>
            </w:pPr>
            <w:r w:rsidRPr="00BA4F7F">
              <w:rPr>
                <w:rFonts w:ascii="Aptos" w:hAnsi="Aptos"/>
                <w:b/>
                <w:color w:val="FFFFFF"/>
                <w:sz w:val="14"/>
              </w:rPr>
              <w:t>Składnik modelu</w:t>
            </w:r>
          </w:p>
        </w:tc>
        <w:tc>
          <w:tcPr>
            <w:tcW w:w="2154"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50EE2685" w14:textId="77777777" w:rsidR="00537CA0" w:rsidRPr="00BA4F7F" w:rsidRDefault="00000000">
            <w:pPr>
              <w:spacing w:after="0"/>
              <w:jc w:val="center"/>
            </w:pPr>
            <w:r w:rsidRPr="00BA4F7F">
              <w:rPr>
                <w:rFonts w:ascii="Aptos" w:hAnsi="Aptos"/>
                <w:b/>
                <w:color w:val="FFFFFF"/>
                <w:sz w:val="14"/>
              </w:rPr>
              <w:t>Wartość / ocena 2025</w:t>
            </w:r>
          </w:p>
        </w:tc>
        <w:tc>
          <w:tcPr>
            <w:tcW w:w="153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5B489076" w14:textId="77777777" w:rsidR="00537CA0" w:rsidRPr="00BA4F7F" w:rsidRDefault="00000000">
            <w:pPr>
              <w:spacing w:after="0"/>
              <w:jc w:val="center"/>
            </w:pPr>
            <w:r w:rsidRPr="00BA4F7F">
              <w:rPr>
                <w:rFonts w:ascii="Aptos" w:hAnsi="Aptos"/>
                <w:b/>
                <w:color w:val="FFFFFF"/>
                <w:sz w:val="14"/>
              </w:rPr>
              <w:t>Punkty IRS</w:t>
            </w:r>
          </w:p>
        </w:tc>
        <w:tc>
          <w:tcPr>
            <w:tcW w:w="136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09DAD809" w14:textId="77777777" w:rsidR="00537CA0" w:rsidRPr="00BA4F7F" w:rsidRDefault="00000000">
            <w:pPr>
              <w:spacing w:after="0"/>
              <w:jc w:val="center"/>
            </w:pPr>
            <w:r w:rsidRPr="00BA4F7F">
              <w:rPr>
                <w:rFonts w:ascii="Aptos" w:hAnsi="Aptos"/>
                <w:b/>
                <w:color w:val="FFFFFF"/>
                <w:sz w:val="14"/>
              </w:rPr>
              <w:t>Waga</w:t>
            </w:r>
          </w:p>
        </w:tc>
      </w:tr>
      <w:tr w:rsidR="00537CA0" w:rsidRPr="00BA4F7F" w14:paraId="5EDCCA4A"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C379AF8" w14:textId="77777777" w:rsidR="00537CA0" w:rsidRPr="00BA4F7F" w:rsidRDefault="00000000">
            <w:pPr>
              <w:spacing w:after="0" w:line="228" w:lineRule="auto"/>
              <w:jc w:val="left"/>
            </w:pPr>
            <w:r w:rsidRPr="00BA4F7F">
              <w:rPr>
                <w:rFonts w:ascii="Aptos" w:hAnsi="Aptos"/>
                <w:b/>
                <w:color w:val="222222"/>
                <w:sz w:val="14"/>
              </w:rPr>
              <w:t>K1 – efekt strategiczny</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C410D4F" w14:textId="77777777" w:rsidR="00537CA0" w:rsidRPr="00BA4F7F" w:rsidRDefault="00000000">
            <w:pPr>
              <w:spacing w:after="0" w:line="228" w:lineRule="auto"/>
              <w:jc w:val="center"/>
            </w:pPr>
            <w:r w:rsidRPr="00BA4F7F">
              <w:rPr>
                <w:rFonts w:ascii="Aptos" w:hAnsi="Aptos"/>
                <w:color w:val="222222"/>
                <w:sz w:val="14"/>
              </w:rPr>
              <w:t>95,2 pkt</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66A87B38" w14:textId="77777777" w:rsidR="00537CA0" w:rsidRPr="00BA4F7F" w:rsidRDefault="00000000">
            <w:pPr>
              <w:spacing w:after="0" w:line="228" w:lineRule="auto"/>
              <w:jc w:val="center"/>
            </w:pPr>
            <w:r w:rsidRPr="00BA4F7F">
              <w:rPr>
                <w:rFonts w:ascii="Aptos" w:hAnsi="Aptos"/>
                <w:color w:val="222222"/>
                <w:sz w:val="14"/>
              </w:rPr>
              <w:t>95,2</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688C065B" w14:textId="77777777" w:rsidR="00537CA0" w:rsidRPr="00BA4F7F" w:rsidRDefault="00000000">
            <w:pPr>
              <w:spacing w:after="0" w:line="228" w:lineRule="auto"/>
              <w:jc w:val="center"/>
            </w:pPr>
            <w:r w:rsidRPr="00BA4F7F">
              <w:rPr>
                <w:rFonts w:ascii="Aptos" w:hAnsi="Aptos"/>
                <w:color w:val="222222"/>
                <w:sz w:val="14"/>
              </w:rPr>
              <w:t>25% kryterium</w:t>
            </w:r>
          </w:p>
        </w:tc>
      </w:tr>
      <w:tr w:rsidR="00537CA0" w:rsidRPr="00BA4F7F" w14:paraId="4ADA95BC"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5749750A" w14:textId="77777777" w:rsidR="00537CA0" w:rsidRPr="00BA4F7F" w:rsidRDefault="00000000">
            <w:pPr>
              <w:spacing w:after="0" w:line="228" w:lineRule="auto"/>
              <w:jc w:val="left"/>
            </w:pPr>
            <w:r w:rsidRPr="00BA4F7F">
              <w:rPr>
                <w:rFonts w:ascii="Aptos" w:hAnsi="Aptos"/>
                <w:b/>
                <w:color w:val="222222"/>
                <w:sz w:val="14"/>
              </w:rPr>
              <w:t>K2 – harmonogram</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381BD9A6" w14:textId="77777777" w:rsidR="00537CA0" w:rsidRPr="00BA4F7F" w:rsidRDefault="00000000">
            <w:pPr>
              <w:spacing w:after="0" w:line="228" w:lineRule="auto"/>
              <w:jc w:val="center"/>
            </w:pPr>
            <w:r w:rsidRPr="00BA4F7F">
              <w:rPr>
                <w:rFonts w:ascii="Aptos" w:hAnsi="Aptos"/>
                <w:color w:val="222222"/>
                <w:sz w:val="14"/>
              </w:rPr>
              <w:t>83,5 pkt</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1F79870E" w14:textId="77777777" w:rsidR="00537CA0" w:rsidRPr="00BA4F7F" w:rsidRDefault="00000000">
            <w:pPr>
              <w:spacing w:after="0" w:line="228" w:lineRule="auto"/>
              <w:jc w:val="center"/>
            </w:pPr>
            <w:r w:rsidRPr="00BA4F7F">
              <w:rPr>
                <w:rFonts w:ascii="Aptos" w:hAnsi="Aptos"/>
                <w:color w:val="222222"/>
                <w:sz w:val="14"/>
              </w:rPr>
              <w:t>83,5</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143EDE15" w14:textId="77777777" w:rsidR="00537CA0" w:rsidRPr="00BA4F7F" w:rsidRDefault="00000000">
            <w:pPr>
              <w:spacing w:after="0" w:line="228" w:lineRule="auto"/>
              <w:jc w:val="center"/>
            </w:pPr>
            <w:r w:rsidRPr="00BA4F7F">
              <w:rPr>
                <w:rFonts w:ascii="Aptos" w:hAnsi="Aptos"/>
                <w:color w:val="222222"/>
                <w:sz w:val="14"/>
              </w:rPr>
              <w:t>25% kryterium</w:t>
            </w:r>
          </w:p>
        </w:tc>
      </w:tr>
      <w:tr w:rsidR="00537CA0" w:rsidRPr="00BA4F7F" w14:paraId="46F862D2"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EAF196D" w14:textId="77777777" w:rsidR="00537CA0" w:rsidRPr="00BA4F7F" w:rsidRDefault="00000000">
            <w:pPr>
              <w:spacing w:after="0" w:line="228" w:lineRule="auto"/>
              <w:jc w:val="left"/>
            </w:pPr>
            <w:r w:rsidRPr="00BA4F7F">
              <w:rPr>
                <w:rFonts w:ascii="Aptos" w:hAnsi="Aptos"/>
                <w:b/>
                <w:color w:val="222222"/>
                <w:sz w:val="14"/>
              </w:rPr>
              <w:t>K3 – integralność zakresu</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5E6F330D" w14:textId="77777777" w:rsidR="00537CA0" w:rsidRPr="00BA4F7F" w:rsidRDefault="00000000">
            <w:pPr>
              <w:spacing w:after="0" w:line="228" w:lineRule="auto"/>
              <w:jc w:val="center"/>
            </w:pPr>
            <w:r w:rsidRPr="00BA4F7F">
              <w:rPr>
                <w:rFonts w:ascii="Aptos" w:hAnsi="Aptos"/>
                <w:color w:val="222222"/>
                <w:sz w:val="14"/>
              </w:rPr>
              <w:t>89,7 pkt</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6B066C5C" w14:textId="77777777" w:rsidR="00537CA0" w:rsidRPr="00BA4F7F" w:rsidRDefault="00000000">
            <w:pPr>
              <w:spacing w:after="0" w:line="228" w:lineRule="auto"/>
              <w:jc w:val="center"/>
            </w:pPr>
            <w:r w:rsidRPr="00BA4F7F">
              <w:rPr>
                <w:rFonts w:ascii="Aptos" w:hAnsi="Aptos"/>
                <w:color w:val="222222"/>
                <w:sz w:val="14"/>
              </w:rPr>
              <w:t>89,7</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078022D" w14:textId="77777777" w:rsidR="00537CA0" w:rsidRPr="00BA4F7F" w:rsidRDefault="00000000">
            <w:pPr>
              <w:spacing w:after="0" w:line="228" w:lineRule="auto"/>
              <w:jc w:val="center"/>
            </w:pPr>
            <w:r w:rsidRPr="00BA4F7F">
              <w:rPr>
                <w:rFonts w:ascii="Aptos" w:hAnsi="Aptos"/>
                <w:color w:val="222222"/>
                <w:sz w:val="14"/>
              </w:rPr>
              <w:t>25% kryterium</w:t>
            </w:r>
          </w:p>
        </w:tc>
      </w:tr>
      <w:tr w:rsidR="00537CA0" w:rsidRPr="00BA4F7F" w14:paraId="498A280B"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41F3F079" w14:textId="77777777" w:rsidR="00537CA0" w:rsidRPr="00BA4F7F" w:rsidRDefault="00000000">
            <w:pPr>
              <w:spacing w:after="0" w:line="228" w:lineRule="auto"/>
              <w:jc w:val="left"/>
            </w:pPr>
            <w:r w:rsidRPr="00BA4F7F">
              <w:rPr>
                <w:rFonts w:ascii="Aptos" w:hAnsi="Aptos"/>
                <w:b/>
                <w:color w:val="222222"/>
                <w:sz w:val="14"/>
              </w:rPr>
              <w:t>K4 – zarządzanie</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465D3829" w14:textId="77777777" w:rsidR="00537CA0" w:rsidRPr="00BA4F7F" w:rsidRDefault="00000000">
            <w:pPr>
              <w:spacing w:after="0" w:line="228" w:lineRule="auto"/>
              <w:jc w:val="center"/>
            </w:pPr>
            <w:r w:rsidRPr="00BA4F7F">
              <w:rPr>
                <w:rFonts w:ascii="Aptos" w:hAnsi="Aptos"/>
                <w:color w:val="222222"/>
                <w:sz w:val="14"/>
              </w:rPr>
              <w:t>83,9 pkt</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1404D72" w14:textId="77777777" w:rsidR="00537CA0" w:rsidRPr="00BA4F7F" w:rsidRDefault="00000000">
            <w:pPr>
              <w:spacing w:after="0" w:line="228" w:lineRule="auto"/>
              <w:jc w:val="center"/>
            </w:pPr>
            <w:r w:rsidRPr="00BA4F7F">
              <w:rPr>
                <w:rFonts w:ascii="Aptos" w:hAnsi="Aptos"/>
                <w:color w:val="222222"/>
                <w:sz w:val="14"/>
              </w:rPr>
              <w:t>83,9</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1AE7CC02" w14:textId="77777777" w:rsidR="00537CA0" w:rsidRPr="00BA4F7F" w:rsidRDefault="00000000">
            <w:pPr>
              <w:spacing w:after="0" w:line="228" w:lineRule="auto"/>
              <w:jc w:val="center"/>
            </w:pPr>
            <w:r w:rsidRPr="00BA4F7F">
              <w:rPr>
                <w:rFonts w:ascii="Aptos" w:hAnsi="Aptos"/>
                <w:color w:val="222222"/>
                <w:sz w:val="14"/>
              </w:rPr>
              <w:t>25% kryterium</w:t>
            </w:r>
          </w:p>
        </w:tc>
      </w:tr>
    </w:tbl>
    <w:p w14:paraId="542EFFA1" w14:textId="77777777" w:rsidR="00537CA0" w:rsidRPr="00BA4F7F" w:rsidRDefault="00537CA0">
      <w:pPr>
        <w:spacing w:after="20"/>
      </w:pPr>
    </w:p>
    <w:p w14:paraId="2A11AC8A" w14:textId="77777777" w:rsidR="00537CA0" w:rsidRPr="00BA4F7F" w:rsidRDefault="00000000">
      <w:pPr>
        <w:keepLines/>
        <w:spacing w:after="30" w:line="240" w:lineRule="auto"/>
      </w:pPr>
      <w:r w:rsidRPr="00BA4F7F">
        <w:rPr>
          <w:b/>
          <w:color w:val="1F4E79"/>
          <w:sz w:val="16"/>
        </w:rPr>
        <w:t xml:space="preserve">Funkcja w IRS i sposób liczenia. </w:t>
      </w:r>
      <w:r w:rsidRPr="00BA4F7F">
        <w:rPr>
          <w:color w:val="222222"/>
          <w:sz w:val="16"/>
        </w:rPr>
        <w:t>Portfel obejmuje dziesięć rodzin programów modernizacyjnych i przemysłowych, ocenianych według efektu strategicznego, harmonogramu, zakresu i zarządzania. Każda rodzina ma równą wagę, a wynik nie jest procentem realizacji kontraktów. Ocenie podlega zdolność do dostarczenia kompletnej funkcji obronnej wraz z integracją i zapleczem.</w:t>
      </w:r>
    </w:p>
    <w:p w14:paraId="0314F6F0" w14:textId="77777777" w:rsidR="00537CA0" w:rsidRPr="00BA4F7F" w:rsidRDefault="00000000">
      <w:pPr>
        <w:keepLines/>
        <w:spacing w:after="30" w:line="240" w:lineRule="auto"/>
      </w:pPr>
      <w:r w:rsidRPr="00BA4F7F">
        <w:rPr>
          <w:b/>
          <w:color w:val="1F4E79"/>
          <w:sz w:val="16"/>
        </w:rPr>
        <w:t xml:space="preserve">Diagnoza i kontekst 2020–2025. </w:t>
      </w:r>
      <w:r w:rsidRPr="00BA4F7F">
        <w:rPr>
          <w:color w:val="222222"/>
          <w:sz w:val="16"/>
        </w:rPr>
        <w:t xml:space="preserve">Wynik rośnie z 82,5 pkt w 2020 r. do 84,0 pkt w 2021 r., 89,5 pkt w 2022 r. i maksimum 91,2 pkt w 2023 r.; po spadku do 86,5 pkt w 2024 r. odbudowuje się do 88,1 pkt w 2025 r. Najwyżej oceniane są systemy obrony powietrznej, wojska lądowe, artyleria, Miecznik, amunicja, rozpoznanie i C4ISR. Portfel odzwierciedla wyjątkową skalę decyzji po agresji Rosji oraz postęp dostaw. Równocześnie </w:t>
      </w:r>
      <w:proofErr w:type="spellStart"/>
      <w:r w:rsidRPr="00BA4F7F">
        <w:rPr>
          <w:color w:val="222222"/>
          <w:sz w:val="16"/>
        </w:rPr>
        <w:t>wielotypowość</w:t>
      </w:r>
      <w:proofErr w:type="spellEnd"/>
      <w:r w:rsidRPr="00BA4F7F">
        <w:rPr>
          <w:color w:val="222222"/>
          <w:sz w:val="16"/>
        </w:rPr>
        <w:t xml:space="preserve"> platform, potrzeby amunicji, infrastruktury, szkolenia i serwisu zwiększają trudność następnej fazy. Krajowy przemysł uczestniczy w części programów, ale pełna zdolność do utrzymania i odtwarzania sprzętu pozostaje nierówna.</w:t>
      </w:r>
    </w:p>
    <w:p w14:paraId="56520FA1" w14:textId="77777777" w:rsidR="00537CA0" w:rsidRPr="00BA4F7F" w:rsidRDefault="00000000">
      <w:pPr>
        <w:keepLines/>
        <w:spacing w:after="30" w:line="240" w:lineRule="auto"/>
      </w:pPr>
      <w:r w:rsidRPr="00BA4F7F">
        <w:rPr>
          <w:b/>
          <w:color w:val="1F4E79"/>
          <w:sz w:val="16"/>
        </w:rPr>
        <w:t xml:space="preserve">Znaczenie dla racji stanu. </w:t>
      </w:r>
      <w:r w:rsidRPr="00BA4F7F">
        <w:rPr>
          <w:color w:val="222222"/>
          <w:sz w:val="16"/>
        </w:rPr>
        <w:t>Modernizacja łączy bezpieczeństwo z finansami, rynkiem pracy, nauką, energetyką i dyplomacją. Zakupy zagraniczne mogą szybko zamknąć lukę wojskową, ale długookresowa autonomia zależy od transferu kompetencji, zdolności remontowych, produkcji amunicji i odporności łańcuchów dostaw.</w:t>
      </w:r>
    </w:p>
    <w:p w14:paraId="252E8768" w14:textId="77777777" w:rsidR="00537CA0" w:rsidRPr="00BA4F7F" w:rsidRDefault="00000000">
      <w:pPr>
        <w:keepLines/>
        <w:spacing w:after="80" w:line="250" w:lineRule="auto"/>
      </w:pPr>
      <w:r w:rsidRPr="00BA4F7F">
        <w:rPr>
          <w:color w:val="222222"/>
          <w:sz w:val="18"/>
        </w:rPr>
        <w:t>Wniosek. Wysoki wynik portfela jest również miarą rosnącego zobowiązania państwa. Każdy nowy system zwiększa przyszły koszt szkolenia, serwisu, infrastruktury i modernizacji. Sukces zakupowy może więc pogarszać gotowość, jeżeli tempo tworzenia zaplecza jest wolniejsze od tempa dostaw. Następnym testem nie jest kontraktacja, lecz integracja wielu programów w jeden system walki i utrzymania.</w:t>
      </w:r>
    </w:p>
    <w:tbl>
      <w:tblPr>
        <w:tblW w:w="0" w:type="auto"/>
        <w:jc w:val="center"/>
        <w:tblLayout w:type="fixed"/>
        <w:tblLook w:val="04A0" w:firstRow="1" w:lastRow="0" w:firstColumn="1" w:lastColumn="0" w:noHBand="0" w:noVBand="1"/>
      </w:tblPr>
      <w:tblGrid>
        <w:gridCol w:w="1474"/>
        <w:gridCol w:w="7540"/>
      </w:tblGrid>
      <w:tr w:rsidR="00537CA0" w:rsidRPr="00BA4F7F" w14:paraId="1BE9013D"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050D6B30"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6ED5D212" w14:textId="77777777" w:rsidR="00537CA0" w:rsidRPr="00BA4F7F" w:rsidRDefault="00000000">
            <w:pPr>
              <w:spacing w:after="0" w:line="240" w:lineRule="auto"/>
              <w:jc w:val="left"/>
            </w:pPr>
            <w:r w:rsidRPr="00BA4F7F">
              <w:rPr>
                <w:color w:val="222222"/>
                <w:sz w:val="15"/>
              </w:rPr>
              <w:t>Plan integracji zdolności obejmujący wspólne standardy dowodzenia i logistyki, zapasy, serwis, szkolenie oraz mierzalny wzrost krajowego potencjału produkcyjnego i remontowego.</w:t>
            </w:r>
          </w:p>
        </w:tc>
      </w:tr>
      <w:tr w:rsidR="00537CA0" w:rsidRPr="00BA4F7F" w14:paraId="53F1D15E"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54E14F02"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62A0F55D" w14:textId="77777777" w:rsidR="00537CA0" w:rsidRPr="00BA4F7F" w:rsidRDefault="00000000">
            <w:pPr>
              <w:spacing w:after="0" w:line="240" w:lineRule="auto"/>
              <w:jc w:val="left"/>
            </w:pPr>
            <w:r w:rsidRPr="00BA4F7F">
              <w:rPr>
                <w:color w:val="222222"/>
                <w:sz w:val="15"/>
              </w:rPr>
              <w:t>Osiąganie pełnych zdolności operacyjnych jednostek, dostępność amunicji i części, skrócenie zależności serwisowych oraz wzrost krajowego udziału w utrzymaniu, modernizacji i produkcji.</w:t>
            </w:r>
          </w:p>
        </w:tc>
      </w:tr>
    </w:tbl>
    <w:p w14:paraId="7EF9E227" w14:textId="77777777" w:rsidR="00537CA0" w:rsidRPr="00BA4F7F" w:rsidRDefault="00537CA0">
      <w:pPr>
        <w:pStyle w:val="SourceNote"/>
        <w:keepLines/>
        <w:spacing w:before="30" w:after="0"/>
        <w:rPr>
          <w:lang w:val="pl-PL"/>
        </w:rPr>
      </w:pPr>
    </w:p>
    <w:p w14:paraId="5365FEA8" w14:textId="77777777" w:rsidR="00537CA0" w:rsidRPr="00BA4F7F" w:rsidRDefault="00000000">
      <w:pPr>
        <w:spacing w:after="0"/>
      </w:pPr>
      <w:r w:rsidRPr="00BA4F7F">
        <w:br w:type="page"/>
      </w:r>
    </w:p>
    <w:p w14:paraId="0AE7630D" w14:textId="77777777" w:rsidR="00537CA0" w:rsidRPr="00BA4F7F" w:rsidRDefault="00000000">
      <w:pPr>
        <w:pStyle w:val="Nagwek2"/>
        <w:spacing w:before="0" w:after="60"/>
      </w:pPr>
      <w:r w:rsidRPr="00BA4F7F">
        <w:rPr>
          <w:rFonts w:ascii="Aptos Display" w:hAnsi="Aptos Display"/>
          <w:sz w:val="30"/>
        </w:rPr>
        <w:lastRenderedPageBreak/>
        <w:t>14A.17. Ciągłość konstytucyjna</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66C13FC2"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69CFB267" w14:textId="77777777" w:rsidR="00537CA0" w:rsidRPr="00BA4F7F" w:rsidRDefault="00000000">
            <w:pPr>
              <w:spacing w:after="0" w:line="240" w:lineRule="auto"/>
              <w:jc w:val="left"/>
            </w:pPr>
            <w:r w:rsidRPr="00BA4F7F">
              <w:rPr>
                <w:rFonts w:ascii="Aptos" w:hAnsi="Aptos"/>
                <w:b/>
                <w:color w:val="FFFFFF"/>
                <w:sz w:val="14"/>
              </w:rPr>
              <w:t>WYNIK 2025</w:t>
            </w:r>
            <w:r w:rsidRPr="00BA4F7F">
              <w:rPr>
                <w:rFonts w:ascii="Aptos" w:hAnsi="Aptos"/>
                <w:b/>
                <w:color w:val="FFFFFF"/>
                <w:sz w:val="14"/>
              </w:rPr>
              <w:br/>
            </w:r>
            <w:r w:rsidRPr="00BA4F7F">
              <w:rPr>
                <w:rFonts w:ascii="Aptos" w:hAnsi="Aptos"/>
                <w:b/>
                <w:color w:val="FFFFFF"/>
                <w:sz w:val="34"/>
              </w:rPr>
              <w:t>16,7</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5FFBFA99" w14:textId="77777777" w:rsidR="00537CA0" w:rsidRPr="00BA4F7F" w:rsidRDefault="00000000">
            <w:pPr>
              <w:spacing w:after="0" w:line="240" w:lineRule="auto"/>
              <w:jc w:val="left"/>
            </w:pPr>
            <w:r w:rsidRPr="00BA4F7F">
              <w:rPr>
                <w:rFonts w:ascii="Aptos" w:hAnsi="Aptos"/>
                <w:b/>
                <w:color w:val="FFFFFF"/>
                <w:sz w:val="14"/>
              </w:rPr>
              <w:t>ZMIANA 2020–2025</w:t>
            </w:r>
            <w:r w:rsidRPr="00BA4F7F">
              <w:rPr>
                <w:rFonts w:ascii="Aptos" w:hAnsi="Aptos"/>
                <w:b/>
                <w:color w:val="FFFFFF"/>
                <w:sz w:val="14"/>
              </w:rPr>
              <w:br/>
            </w:r>
            <w:r w:rsidRPr="00BA4F7F">
              <w:rPr>
                <w:rFonts w:ascii="Aptos" w:hAnsi="Aptos"/>
                <w:b/>
                <w:color w:val="FFFFFF"/>
                <w:sz w:val="34"/>
              </w:rPr>
              <w:t>−18,3</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60C9AFF9"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ryzyko krytyczne</w:t>
            </w:r>
          </w:p>
          <w:p w14:paraId="3470CEFB" w14:textId="77777777" w:rsidR="003357E9" w:rsidRPr="00BA4F7F" w:rsidRDefault="00000000">
            <w:pPr>
              <w:spacing w:before="60" w:after="0"/>
            </w:pPr>
            <w:r w:rsidRPr="00BA4F7F">
              <w:rPr>
                <w:b/>
                <w:color w:val="666666"/>
                <w:sz w:val="14"/>
              </w:rPr>
              <w:t>STATUS OSTRZEGAWCZY 2025</w:t>
            </w:r>
            <w:r w:rsidRPr="00BA4F7F">
              <w:rPr>
                <w:b/>
                <w:color w:val="666666"/>
                <w:sz w:val="14"/>
              </w:rPr>
              <w:br/>
            </w:r>
            <w:r w:rsidRPr="00BA4F7F">
              <w:rPr>
                <w:b/>
                <w:color w:val="A61E2E"/>
                <w:sz w:val="16"/>
              </w:rPr>
              <w:t>KRYTYCZNY • POGORSZENIE STRUKTURALNE</w:t>
            </w:r>
            <w:r w:rsidRPr="00BA4F7F">
              <w:rPr>
                <w:b/>
                <w:color w:val="A61E2E"/>
                <w:sz w:val="16"/>
              </w:rPr>
              <w:br/>
              <w:t>SYGNAŁ TRWAŁEJ SŁABOŚCI</w:t>
            </w:r>
          </w:p>
        </w:tc>
      </w:tr>
    </w:tbl>
    <w:p w14:paraId="1EB7E7BF" w14:textId="77777777" w:rsidR="00537CA0" w:rsidRPr="00BA4F7F" w:rsidRDefault="00000000">
      <w:pPr>
        <w:keepLines/>
        <w:spacing w:before="20" w:after="30"/>
        <w:jc w:val="center"/>
      </w:pPr>
      <w:r w:rsidRPr="00BA4F7F">
        <w:rPr>
          <w:noProof/>
        </w:rPr>
        <w:drawing>
          <wp:inline distT="0" distB="0" distL="0" distR="0" wp14:anchorId="104AE8B8" wp14:editId="24CE9883">
            <wp:extent cx="5688000" cy="1119183"/>
            <wp:effectExtent l="0" t="0" r="0" b="0"/>
            <wp:docPr id="1690576337" name="Picture 1690576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17.png"/>
                    <pic:cNvPicPr/>
                  </pic:nvPicPr>
                  <pic:blipFill>
                    <a:blip r:embed="rId41"/>
                    <a:stretch>
                      <a:fillRect/>
                    </a:stretch>
                  </pic:blipFill>
                  <pic:spPr>
                    <a:xfrm>
                      <a:off x="0" y="0"/>
                      <a:ext cx="5688000" cy="1119183"/>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3969"/>
        <w:gridCol w:w="2154"/>
        <w:gridCol w:w="1531"/>
        <w:gridCol w:w="1361"/>
      </w:tblGrid>
      <w:tr w:rsidR="00537CA0" w:rsidRPr="00BA4F7F" w14:paraId="760D927D" w14:textId="77777777">
        <w:trPr>
          <w:cantSplit/>
          <w:tblHeader/>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10423DF1" w14:textId="77777777" w:rsidR="00537CA0" w:rsidRPr="00BA4F7F" w:rsidRDefault="00000000">
            <w:pPr>
              <w:spacing w:after="0"/>
              <w:jc w:val="center"/>
            </w:pPr>
            <w:r w:rsidRPr="00BA4F7F">
              <w:rPr>
                <w:rFonts w:ascii="Aptos" w:hAnsi="Aptos"/>
                <w:b/>
                <w:color w:val="FFFFFF"/>
                <w:sz w:val="14"/>
              </w:rPr>
              <w:t>Składnik modelu</w:t>
            </w:r>
          </w:p>
        </w:tc>
        <w:tc>
          <w:tcPr>
            <w:tcW w:w="2154"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584EF8D4" w14:textId="77777777" w:rsidR="00537CA0" w:rsidRPr="00BA4F7F" w:rsidRDefault="00000000">
            <w:pPr>
              <w:spacing w:after="0"/>
              <w:jc w:val="center"/>
            </w:pPr>
            <w:r w:rsidRPr="00BA4F7F">
              <w:rPr>
                <w:rFonts w:ascii="Aptos" w:hAnsi="Aptos"/>
                <w:b/>
                <w:color w:val="FFFFFF"/>
                <w:sz w:val="14"/>
              </w:rPr>
              <w:t>Wartość / ocena 2025</w:t>
            </w:r>
          </w:p>
        </w:tc>
        <w:tc>
          <w:tcPr>
            <w:tcW w:w="153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68ACB248" w14:textId="77777777" w:rsidR="00537CA0" w:rsidRPr="00BA4F7F" w:rsidRDefault="00000000">
            <w:pPr>
              <w:spacing w:after="0"/>
              <w:jc w:val="center"/>
            </w:pPr>
            <w:r w:rsidRPr="00BA4F7F">
              <w:rPr>
                <w:rFonts w:ascii="Aptos" w:hAnsi="Aptos"/>
                <w:b/>
                <w:color w:val="FFFFFF"/>
                <w:sz w:val="14"/>
              </w:rPr>
              <w:t>Punkty IRS</w:t>
            </w:r>
          </w:p>
        </w:tc>
        <w:tc>
          <w:tcPr>
            <w:tcW w:w="136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4440691F" w14:textId="77777777" w:rsidR="00537CA0" w:rsidRPr="00BA4F7F" w:rsidRDefault="00000000">
            <w:pPr>
              <w:spacing w:after="0"/>
              <w:jc w:val="center"/>
            </w:pPr>
            <w:r w:rsidRPr="00BA4F7F">
              <w:rPr>
                <w:rFonts w:ascii="Aptos" w:hAnsi="Aptos"/>
                <w:b/>
                <w:color w:val="FFFFFF"/>
                <w:sz w:val="14"/>
              </w:rPr>
              <w:t>Waga</w:t>
            </w:r>
          </w:p>
        </w:tc>
      </w:tr>
      <w:tr w:rsidR="00537CA0" w:rsidRPr="00BA4F7F" w14:paraId="610B568F"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01B9C983" w14:textId="77777777" w:rsidR="00537CA0" w:rsidRPr="00BA4F7F" w:rsidRDefault="00000000">
            <w:pPr>
              <w:spacing w:after="0" w:line="228" w:lineRule="auto"/>
              <w:jc w:val="left"/>
            </w:pPr>
            <w:r w:rsidRPr="00BA4F7F">
              <w:rPr>
                <w:rFonts w:ascii="Aptos" w:hAnsi="Aptos"/>
                <w:b/>
                <w:color w:val="222222"/>
                <w:sz w:val="14"/>
              </w:rPr>
              <w:t>Organy konstytucyjne i równowaga władz</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4F74630E" w14:textId="77777777" w:rsidR="00537CA0" w:rsidRPr="00BA4F7F" w:rsidRDefault="00000000">
            <w:pPr>
              <w:spacing w:after="0" w:line="228" w:lineRule="auto"/>
              <w:jc w:val="center"/>
            </w:pPr>
            <w:r w:rsidRPr="00BA4F7F">
              <w:rPr>
                <w:rFonts w:ascii="Aptos" w:hAnsi="Aptos"/>
                <w:color w:val="222222"/>
                <w:sz w:val="14"/>
              </w:rPr>
              <w:t>20 pkt</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F090055" w14:textId="77777777" w:rsidR="00537CA0" w:rsidRPr="00BA4F7F" w:rsidRDefault="00000000">
            <w:pPr>
              <w:spacing w:after="0" w:line="228" w:lineRule="auto"/>
              <w:jc w:val="center"/>
            </w:pPr>
            <w:r w:rsidRPr="00BA4F7F">
              <w:rPr>
                <w:rFonts w:ascii="Aptos" w:hAnsi="Aptos"/>
                <w:color w:val="222222"/>
                <w:sz w:val="14"/>
              </w:rPr>
              <w:t>20,0</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575E8B1A" w14:textId="77777777" w:rsidR="00537CA0" w:rsidRPr="00BA4F7F" w:rsidRDefault="00000000">
            <w:pPr>
              <w:spacing w:after="0" w:line="228" w:lineRule="auto"/>
              <w:jc w:val="center"/>
            </w:pPr>
            <w:r w:rsidRPr="00BA4F7F">
              <w:rPr>
                <w:rFonts w:ascii="Aptos" w:hAnsi="Aptos"/>
                <w:color w:val="222222"/>
                <w:sz w:val="14"/>
              </w:rPr>
              <w:t>33,3%</w:t>
            </w:r>
          </w:p>
        </w:tc>
      </w:tr>
      <w:tr w:rsidR="00537CA0" w:rsidRPr="00BA4F7F" w14:paraId="768CE858"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B049E4B" w14:textId="77777777" w:rsidR="00537CA0" w:rsidRPr="00BA4F7F" w:rsidRDefault="00000000">
            <w:pPr>
              <w:spacing w:after="0" w:line="228" w:lineRule="auto"/>
              <w:jc w:val="left"/>
            </w:pPr>
            <w:r w:rsidRPr="00BA4F7F">
              <w:rPr>
                <w:rFonts w:ascii="Aptos" w:hAnsi="Aptos"/>
                <w:b/>
                <w:color w:val="222222"/>
                <w:sz w:val="14"/>
              </w:rPr>
              <w:t>Wykonywanie i publikacja rozstrzygnięć</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4B395DC4" w14:textId="77777777" w:rsidR="00537CA0" w:rsidRPr="00BA4F7F" w:rsidRDefault="00000000">
            <w:pPr>
              <w:spacing w:after="0" w:line="228" w:lineRule="auto"/>
              <w:jc w:val="center"/>
            </w:pPr>
            <w:r w:rsidRPr="00BA4F7F">
              <w:rPr>
                <w:rFonts w:ascii="Aptos" w:hAnsi="Aptos"/>
                <w:color w:val="222222"/>
                <w:sz w:val="14"/>
              </w:rPr>
              <w:t>15 pkt</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72CEFCB8" w14:textId="77777777" w:rsidR="00537CA0" w:rsidRPr="00BA4F7F" w:rsidRDefault="00000000">
            <w:pPr>
              <w:spacing w:after="0" w:line="228" w:lineRule="auto"/>
              <w:jc w:val="center"/>
            </w:pPr>
            <w:r w:rsidRPr="00BA4F7F">
              <w:rPr>
                <w:rFonts w:ascii="Aptos" w:hAnsi="Aptos"/>
                <w:color w:val="222222"/>
                <w:sz w:val="14"/>
              </w:rPr>
              <w:t>15,0</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9C21ADB" w14:textId="77777777" w:rsidR="00537CA0" w:rsidRPr="00BA4F7F" w:rsidRDefault="00000000">
            <w:pPr>
              <w:spacing w:after="0" w:line="228" w:lineRule="auto"/>
              <w:jc w:val="center"/>
            </w:pPr>
            <w:r w:rsidRPr="00BA4F7F">
              <w:rPr>
                <w:rFonts w:ascii="Aptos" w:hAnsi="Aptos"/>
                <w:color w:val="222222"/>
                <w:sz w:val="14"/>
              </w:rPr>
              <w:t>33,3%</w:t>
            </w:r>
          </w:p>
        </w:tc>
      </w:tr>
      <w:tr w:rsidR="00537CA0" w:rsidRPr="00BA4F7F" w14:paraId="6CB2AB14"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16BA7F4B" w14:textId="77777777" w:rsidR="00537CA0" w:rsidRPr="00BA4F7F" w:rsidRDefault="00000000">
            <w:pPr>
              <w:spacing w:after="0" w:line="228" w:lineRule="auto"/>
              <w:jc w:val="left"/>
            </w:pPr>
            <w:r w:rsidRPr="00BA4F7F">
              <w:rPr>
                <w:rFonts w:ascii="Aptos" w:hAnsi="Aptos"/>
                <w:b/>
                <w:color w:val="222222"/>
                <w:sz w:val="14"/>
              </w:rPr>
              <w:t>Neutralność prokuratury i organów ochrony prawa</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0BB21586" w14:textId="77777777" w:rsidR="00537CA0" w:rsidRPr="00BA4F7F" w:rsidRDefault="00000000">
            <w:pPr>
              <w:spacing w:after="0" w:line="228" w:lineRule="auto"/>
              <w:jc w:val="center"/>
            </w:pPr>
            <w:r w:rsidRPr="00BA4F7F">
              <w:rPr>
                <w:rFonts w:ascii="Aptos" w:hAnsi="Aptos"/>
                <w:color w:val="222222"/>
                <w:sz w:val="14"/>
              </w:rPr>
              <w:t>15 pkt</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49F06EC6" w14:textId="77777777" w:rsidR="00537CA0" w:rsidRPr="00BA4F7F" w:rsidRDefault="00000000">
            <w:pPr>
              <w:spacing w:after="0" w:line="228" w:lineRule="auto"/>
              <w:jc w:val="center"/>
            </w:pPr>
            <w:r w:rsidRPr="00BA4F7F">
              <w:rPr>
                <w:rFonts w:ascii="Aptos" w:hAnsi="Aptos"/>
                <w:color w:val="222222"/>
                <w:sz w:val="14"/>
              </w:rPr>
              <w:t>15,0</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27D68B81" w14:textId="77777777" w:rsidR="00537CA0" w:rsidRPr="00BA4F7F" w:rsidRDefault="00000000">
            <w:pPr>
              <w:spacing w:after="0" w:line="228" w:lineRule="auto"/>
              <w:jc w:val="center"/>
            </w:pPr>
            <w:r w:rsidRPr="00BA4F7F">
              <w:rPr>
                <w:rFonts w:ascii="Aptos" w:hAnsi="Aptos"/>
                <w:color w:val="222222"/>
                <w:sz w:val="14"/>
              </w:rPr>
              <w:t>33,3%</w:t>
            </w:r>
          </w:p>
        </w:tc>
      </w:tr>
    </w:tbl>
    <w:p w14:paraId="1D5A0897" w14:textId="77777777" w:rsidR="00537CA0" w:rsidRPr="00BA4F7F" w:rsidRDefault="00537CA0">
      <w:pPr>
        <w:spacing w:after="20"/>
      </w:pPr>
    </w:p>
    <w:p w14:paraId="2208591B" w14:textId="77777777" w:rsidR="00537CA0" w:rsidRPr="00BA4F7F" w:rsidRDefault="00000000">
      <w:pPr>
        <w:keepLines/>
        <w:spacing w:after="30" w:line="240" w:lineRule="auto"/>
      </w:pPr>
      <w:r w:rsidRPr="00BA4F7F">
        <w:rPr>
          <w:b/>
          <w:color w:val="1F4E79"/>
          <w:sz w:val="16"/>
        </w:rPr>
        <w:t xml:space="preserve">Funkcja w IRS i sposób liczenia. </w:t>
      </w:r>
      <w:proofErr w:type="spellStart"/>
      <w:r w:rsidRPr="00BA4F7F">
        <w:rPr>
          <w:color w:val="222222"/>
          <w:sz w:val="16"/>
        </w:rPr>
        <w:t>Subobszar</w:t>
      </w:r>
      <w:proofErr w:type="spellEnd"/>
      <w:r w:rsidRPr="00BA4F7F">
        <w:rPr>
          <w:color w:val="222222"/>
          <w:sz w:val="16"/>
        </w:rPr>
        <w:t xml:space="preserve"> mierzy zdolność systemu konstytucyjnego do wytwarzania finalnych, wykonywanych i wspólnie uznawanych rozstrzygnięć. Trzy pozycje mają równe wagi, a każda jest średnią kryteriów stanu konstytucyjnego, ciągłości działania, spójności legalności oraz egzekucji i odpowiedzialności. Ocena nie rozstrzyga prawnej ważności pojedynczego aktu; opisuje jakość całego mechanizmu.</w:t>
      </w:r>
    </w:p>
    <w:p w14:paraId="354F28E4" w14:textId="77777777" w:rsidR="00537CA0" w:rsidRPr="00BA4F7F" w:rsidRDefault="00000000">
      <w:pPr>
        <w:keepLines/>
        <w:spacing w:after="30" w:line="240" w:lineRule="auto"/>
      </w:pPr>
      <w:r w:rsidRPr="00BA4F7F">
        <w:rPr>
          <w:b/>
          <w:color w:val="1F4E79"/>
          <w:sz w:val="16"/>
        </w:rPr>
        <w:t xml:space="preserve">Diagnoza i kontekst 2020–2025. </w:t>
      </w:r>
      <w:r w:rsidRPr="00BA4F7F">
        <w:rPr>
          <w:color w:val="222222"/>
          <w:sz w:val="16"/>
        </w:rPr>
        <w:t>Wynik obniża się z 35,0 pkt w 2020 r. do 31,7 pkt w 2021 r., 33,3 pkt w 2022 r., 28,3 pkt w 2023 r. i 16,7 pkt w latach 2024–2025. Państwo zachowuje ciągłość techniczną: organy funkcjonują, administracja świadczy usługi, a decyzje są podejmowane. Jednocześnie narasta wzajemne kwestionowanie statusu organów, obsady, orzeczeń, publikacji i skutków decyzji. Zmiana większości politycznej nie doprowadziła do wspólnie uznanej stabilizacji; część działań naprawczych sama stała się przedmiotem sporu o podstawę i tryb. Najniższe oceny dotyczą spójności legalności oraz egzekucji.</w:t>
      </w:r>
    </w:p>
    <w:p w14:paraId="38E082A1" w14:textId="77777777" w:rsidR="00537CA0" w:rsidRPr="00BA4F7F" w:rsidRDefault="00000000">
      <w:pPr>
        <w:keepLines/>
        <w:spacing w:after="30" w:line="240" w:lineRule="auto"/>
      </w:pPr>
      <w:r w:rsidRPr="00BA4F7F">
        <w:rPr>
          <w:b/>
          <w:color w:val="1F4E79"/>
          <w:sz w:val="16"/>
        </w:rPr>
        <w:t xml:space="preserve">Znaczenie dla racji stanu. </w:t>
      </w:r>
      <w:r w:rsidRPr="00BA4F7F">
        <w:rPr>
          <w:color w:val="222222"/>
          <w:sz w:val="16"/>
        </w:rPr>
        <w:t>Niejednoznaczna finalność rozstrzygnięć zwiększa koszt inwestycji, regulacji, reform i polityki zagranicznej. Urzędnik, obywatel i inwestor muszą oceniać nie tylko treść decyzji, lecz również ryzyko jej późniejszego zakwestionowania. Osłabia to zdolność działania ponad kadencjami i utrudnia trwałe domknięcie projektów strategicznych.</w:t>
      </w:r>
    </w:p>
    <w:p w14:paraId="18001F20" w14:textId="77777777" w:rsidR="00537CA0" w:rsidRPr="00BA4F7F" w:rsidRDefault="00000000">
      <w:pPr>
        <w:keepLines/>
        <w:spacing w:after="80" w:line="250" w:lineRule="auto"/>
      </w:pPr>
      <w:r w:rsidRPr="00BA4F7F">
        <w:rPr>
          <w:color w:val="222222"/>
          <w:sz w:val="18"/>
        </w:rPr>
        <w:t>Wniosek. Najgroźniejszą cechą kryzysu nie jest natychmiastowy paraliż, lecz możliwość długiego współistnienia technicznej sprawności z normatywną fragmentacją. Państwo może wykonywać codzienne zadania, a jednocześnie zwiększać „premię za odwracalność” każdej ważnej decyzji. Koszt ujawnia się dopiero przy zmianie władzy, sporze sądowym lub potrzebie wieloletniego zobowiązania.</w:t>
      </w:r>
    </w:p>
    <w:tbl>
      <w:tblPr>
        <w:tblW w:w="0" w:type="auto"/>
        <w:jc w:val="center"/>
        <w:tblLayout w:type="fixed"/>
        <w:tblLook w:val="04A0" w:firstRow="1" w:lastRow="0" w:firstColumn="1" w:lastColumn="0" w:noHBand="0" w:noVBand="1"/>
      </w:tblPr>
      <w:tblGrid>
        <w:gridCol w:w="1474"/>
        <w:gridCol w:w="7540"/>
      </w:tblGrid>
      <w:tr w:rsidR="00537CA0" w:rsidRPr="00BA4F7F" w14:paraId="62EF37DB"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B23A48"/>
            <w:tcMar>
              <w:top w:w="45" w:type="dxa"/>
              <w:left w:w="70" w:type="dxa"/>
              <w:bottom w:w="45" w:type="dxa"/>
              <w:right w:w="70" w:type="dxa"/>
            </w:tcMar>
            <w:vAlign w:val="center"/>
          </w:tcPr>
          <w:p w14:paraId="57B6D0C9" w14:textId="77777777" w:rsidR="003357E9" w:rsidRPr="00BA4F7F" w:rsidRDefault="00000000">
            <w:r w:rsidRPr="00BA4F7F">
              <w:rPr>
                <w:b/>
              </w:rPr>
              <w:t>STATUS OSTRZEGAWCZY 2025</w:t>
            </w:r>
          </w:p>
        </w:tc>
        <w:tc>
          <w:tcPr>
            <w:tcW w:w="7540" w:type="dxa"/>
            <w:tcBorders>
              <w:top w:val="single" w:sz="5" w:space="0" w:color="1F4E79"/>
              <w:left w:val="single" w:sz="5" w:space="0" w:color="1F4E79"/>
              <w:bottom w:val="single" w:sz="5" w:space="0" w:color="1F4E79"/>
              <w:right w:val="single" w:sz="5" w:space="0" w:color="1F4E79"/>
            </w:tcBorders>
            <w:shd w:val="clear" w:color="auto" w:fill="FCE8EA"/>
            <w:tcMar>
              <w:top w:w="45" w:type="dxa"/>
              <w:left w:w="70" w:type="dxa"/>
              <w:bottom w:w="45" w:type="dxa"/>
              <w:right w:w="70" w:type="dxa"/>
            </w:tcMar>
            <w:vAlign w:val="center"/>
          </w:tcPr>
          <w:p w14:paraId="1B7497C6" w14:textId="77777777" w:rsidR="003357E9" w:rsidRPr="00BA4F7F" w:rsidRDefault="00000000">
            <w:r w:rsidRPr="00BA4F7F">
              <w:t xml:space="preserve">Alert krytyczny: wynik 16,7 pkt jest niższy niż 20 pkt. </w:t>
            </w:r>
            <w:proofErr w:type="spellStart"/>
            <w:r w:rsidRPr="00BA4F7F">
              <w:t>Subobszar</w:t>
            </w:r>
            <w:proofErr w:type="spellEnd"/>
            <w:r w:rsidRPr="00BA4F7F">
              <w:t xml:space="preserve"> spełnia również warunek pogorszenia strukturalnego oraz sygnału trwałej słabości. Ład instytucjonalny pozostaje w strefie wysokiego ryzyka i pogorszenia strukturalnego.</w:t>
            </w:r>
          </w:p>
        </w:tc>
      </w:tr>
      <w:tr w:rsidR="00537CA0" w:rsidRPr="00BA4F7F" w14:paraId="3E0FF8BD"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0E3EBDDB"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18062040" w14:textId="77777777" w:rsidR="00537CA0" w:rsidRPr="00BA4F7F" w:rsidRDefault="00000000">
            <w:pPr>
              <w:spacing w:after="0" w:line="240" w:lineRule="auto"/>
              <w:jc w:val="left"/>
            </w:pPr>
            <w:r w:rsidRPr="00BA4F7F">
              <w:rPr>
                <w:color w:val="222222"/>
                <w:sz w:val="15"/>
              </w:rPr>
              <w:t>Legalna, proporcjonalna i możliwie szeroko uznana ścieżka domknięcia sporów, chroniąca finalność prawomocnych rozstrzygnięć oraz ciągłość praw obywateli i zobowiązań państwa.</w:t>
            </w:r>
          </w:p>
        </w:tc>
      </w:tr>
      <w:tr w:rsidR="00537CA0" w:rsidRPr="00BA4F7F" w14:paraId="13EAB727"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05C63B10"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20D48478" w14:textId="77777777" w:rsidR="00537CA0" w:rsidRPr="00BA4F7F" w:rsidRDefault="00000000">
            <w:pPr>
              <w:spacing w:after="0" w:line="240" w:lineRule="auto"/>
              <w:jc w:val="left"/>
            </w:pPr>
            <w:r w:rsidRPr="00BA4F7F">
              <w:rPr>
                <w:color w:val="222222"/>
                <w:sz w:val="15"/>
              </w:rPr>
              <w:t>Powszechne wykonywanie i publikowanie rozstrzygnięć, ograniczenie wzajemnego nieuznawania organów oraz stabilne reguły stosowane niezależnie od aktualnej większości politycznej.</w:t>
            </w:r>
          </w:p>
        </w:tc>
      </w:tr>
    </w:tbl>
    <w:p w14:paraId="2E81188E" w14:textId="77777777" w:rsidR="00537CA0" w:rsidRPr="00BA4F7F" w:rsidRDefault="00000000">
      <w:pPr>
        <w:spacing w:after="0"/>
      </w:pPr>
      <w:r w:rsidRPr="00BA4F7F">
        <w:br w:type="page"/>
      </w:r>
    </w:p>
    <w:p w14:paraId="2997BAB5" w14:textId="77777777" w:rsidR="00537CA0" w:rsidRPr="00BA4F7F" w:rsidRDefault="00000000">
      <w:pPr>
        <w:pStyle w:val="Nagwek2"/>
        <w:spacing w:before="0" w:after="60"/>
      </w:pPr>
      <w:r w:rsidRPr="00BA4F7F">
        <w:rPr>
          <w:rFonts w:ascii="Aptos Display" w:hAnsi="Aptos Display"/>
          <w:sz w:val="30"/>
        </w:rPr>
        <w:lastRenderedPageBreak/>
        <w:t>14A.18. Sprawność instytucjonalna</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63EB2346"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3CE2714B" w14:textId="77777777" w:rsidR="00537CA0" w:rsidRPr="00BA4F7F" w:rsidRDefault="00000000">
            <w:pPr>
              <w:spacing w:after="0" w:line="240" w:lineRule="auto"/>
              <w:jc w:val="left"/>
            </w:pPr>
            <w:r w:rsidRPr="00BA4F7F">
              <w:rPr>
                <w:rFonts w:ascii="Aptos" w:hAnsi="Aptos"/>
                <w:b/>
                <w:color w:val="FFFFFF"/>
                <w:sz w:val="14"/>
              </w:rPr>
              <w:t>WYNIK 2025</w:t>
            </w:r>
            <w:r w:rsidRPr="00BA4F7F">
              <w:rPr>
                <w:rFonts w:ascii="Aptos" w:hAnsi="Aptos"/>
                <w:b/>
                <w:color w:val="FFFFFF"/>
                <w:sz w:val="14"/>
              </w:rPr>
              <w:br/>
            </w:r>
            <w:r w:rsidRPr="00BA4F7F">
              <w:rPr>
                <w:rFonts w:ascii="Aptos" w:hAnsi="Aptos"/>
                <w:b/>
                <w:color w:val="FFFFFF"/>
                <w:sz w:val="34"/>
              </w:rPr>
              <w:t>43,3</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56212548" w14:textId="77777777" w:rsidR="00537CA0" w:rsidRPr="00BA4F7F" w:rsidRDefault="00000000">
            <w:pPr>
              <w:spacing w:after="0" w:line="240" w:lineRule="auto"/>
              <w:jc w:val="left"/>
            </w:pPr>
            <w:r w:rsidRPr="00BA4F7F">
              <w:rPr>
                <w:rFonts w:ascii="Aptos" w:hAnsi="Aptos"/>
                <w:b/>
                <w:color w:val="FFFFFF"/>
                <w:sz w:val="14"/>
              </w:rPr>
              <w:t>ZMIANA 2020–2025</w:t>
            </w:r>
            <w:r w:rsidRPr="00BA4F7F">
              <w:rPr>
                <w:rFonts w:ascii="Aptos" w:hAnsi="Aptos"/>
                <w:b/>
                <w:color w:val="FFFFFF"/>
                <w:sz w:val="14"/>
              </w:rPr>
              <w:br/>
            </w:r>
            <w:r w:rsidRPr="00BA4F7F">
              <w:rPr>
                <w:rFonts w:ascii="Aptos" w:hAnsi="Aptos"/>
                <w:b/>
                <w:color w:val="FFFFFF"/>
                <w:sz w:val="34"/>
              </w:rPr>
              <w:t>−16,7</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50A02F98"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słaba lub niepełna odporność</w:t>
            </w:r>
          </w:p>
          <w:p w14:paraId="2C4EBE66" w14:textId="77777777" w:rsidR="003357E9" w:rsidRPr="00BA4F7F" w:rsidRDefault="00000000">
            <w:pPr>
              <w:spacing w:before="60" w:after="0"/>
            </w:pPr>
            <w:r w:rsidRPr="00BA4F7F">
              <w:rPr>
                <w:b/>
                <w:color w:val="666666"/>
                <w:sz w:val="14"/>
              </w:rPr>
              <w:t>STATUS OSTRZEGAWCZY 2025</w:t>
            </w:r>
            <w:r w:rsidRPr="00BA4F7F">
              <w:rPr>
                <w:b/>
                <w:color w:val="666666"/>
                <w:sz w:val="14"/>
              </w:rPr>
              <w:br/>
            </w:r>
            <w:r w:rsidRPr="00BA4F7F">
              <w:rPr>
                <w:b/>
                <w:color w:val="2F75B5"/>
                <w:sz w:val="16"/>
              </w:rPr>
              <w:t>POGORSZENIE STRUKTURALNE</w:t>
            </w:r>
            <w:r w:rsidRPr="00BA4F7F">
              <w:rPr>
                <w:b/>
                <w:color w:val="2F75B5"/>
                <w:sz w:val="16"/>
              </w:rPr>
              <w:br/>
              <w:t>SYGNAŁ TRWAŁEJ SŁABOŚCI</w:t>
            </w:r>
          </w:p>
        </w:tc>
      </w:tr>
    </w:tbl>
    <w:p w14:paraId="4EB51490" w14:textId="77777777" w:rsidR="00537CA0" w:rsidRPr="00BA4F7F" w:rsidRDefault="00000000">
      <w:pPr>
        <w:keepLines/>
        <w:spacing w:before="20" w:after="30"/>
        <w:jc w:val="center"/>
      </w:pPr>
      <w:r w:rsidRPr="00BA4F7F">
        <w:rPr>
          <w:noProof/>
        </w:rPr>
        <w:drawing>
          <wp:inline distT="0" distB="0" distL="0" distR="0" wp14:anchorId="24BD9FE0" wp14:editId="19AB1664">
            <wp:extent cx="5688000" cy="1119183"/>
            <wp:effectExtent l="0" t="0" r="0" b="0"/>
            <wp:docPr id="1690576338" name="Picture 1690576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18.png"/>
                    <pic:cNvPicPr/>
                  </pic:nvPicPr>
                  <pic:blipFill>
                    <a:blip r:embed="rId42"/>
                    <a:stretch>
                      <a:fillRect/>
                    </a:stretch>
                  </pic:blipFill>
                  <pic:spPr>
                    <a:xfrm>
                      <a:off x="0" y="0"/>
                      <a:ext cx="5688000" cy="1119183"/>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3969"/>
        <w:gridCol w:w="2154"/>
        <w:gridCol w:w="1531"/>
        <w:gridCol w:w="1361"/>
      </w:tblGrid>
      <w:tr w:rsidR="00537CA0" w:rsidRPr="00BA4F7F" w14:paraId="2AE8CB07" w14:textId="77777777">
        <w:trPr>
          <w:cantSplit/>
          <w:tblHeader/>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13E2B3E1" w14:textId="77777777" w:rsidR="00537CA0" w:rsidRPr="00BA4F7F" w:rsidRDefault="00000000">
            <w:pPr>
              <w:spacing w:after="0"/>
              <w:jc w:val="center"/>
            </w:pPr>
            <w:r w:rsidRPr="00BA4F7F">
              <w:rPr>
                <w:rFonts w:ascii="Aptos" w:hAnsi="Aptos"/>
                <w:b/>
                <w:color w:val="FFFFFF"/>
                <w:sz w:val="14"/>
              </w:rPr>
              <w:t>Składnik modelu</w:t>
            </w:r>
          </w:p>
        </w:tc>
        <w:tc>
          <w:tcPr>
            <w:tcW w:w="2154"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7B1B70DD" w14:textId="77777777" w:rsidR="00537CA0" w:rsidRPr="00BA4F7F" w:rsidRDefault="00000000">
            <w:pPr>
              <w:spacing w:after="0"/>
              <w:jc w:val="center"/>
            </w:pPr>
            <w:r w:rsidRPr="00BA4F7F">
              <w:rPr>
                <w:rFonts w:ascii="Aptos" w:hAnsi="Aptos"/>
                <w:b/>
                <w:color w:val="FFFFFF"/>
                <w:sz w:val="14"/>
              </w:rPr>
              <w:t>Wartość / ocena 2025</w:t>
            </w:r>
          </w:p>
        </w:tc>
        <w:tc>
          <w:tcPr>
            <w:tcW w:w="153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66C5BBFA" w14:textId="77777777" w:rsidR="00537CA0" w:rsidRPr="00BA4F7F" w:rsidRDefault="00000000">
            <w:pPr>
              <w:spacing w:after="0"/>
              <w:jc w:val="center"/>
            </w:pPr>
            <w:r w:rsidRPr="00BA4F7F">
              <w:rPr>
                <w:rFonts w:ascii="Aptos" w:hAnsi="Aptos"/>
                <w:b/>
                <w:color w:val="FFFFFF"/>
                <w:sz w:val="14"/>
              </w:rPr>
              <w:t>Punkty IRS</w:t>
            </w:r>
          </w:p>
        </w:tc>
        <w:tc>
          <w:tcPr>
            <w:tcW w:w="136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4AC96306" w14:textId="77777777" w:rsidR="00537CA0" w:rsidRPr="00BA4F7F" w:rsidRDefault="00000000">
            <w:pPr>
              <w:spacing w:after="0"/>
              <w:jc w:val="center"/>
            </w:pPr>
            <w:r w:rsidRPr="00BA4F7F">
              <w:rPr>
                <w:rFonts w:ascii="Aptos" w:hAnsi="Aptos"/>
                <w:b/>
                <w:color w:val="FFFFFF"/>
                <w:sz w:val="14"/>
              </w:rPr>
              <w:t>Waga</w:t>
            </w:r>
          </w:p>
        </w:tc>
      </w:tr>
      <w:tr w:rsidR="00537CA0" w:rsidRPr="00BA4F7F" w14:paraId="2A45B887"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FC189F5" w14:textId="77777777" w:rsidR="00537CA0" w:rsidRPr="00BA4F7F" w:rsidRDefault="00000000">
            <w:pPr>
              <w:spacing w:after="0" w:line="228" w:lineRule="auto"/>
              <w:jc w:val="left"/>
            </w:pPr>
            <w:r w:rsidRPr="00BA4F7F">
              <w:rPr>
                <w:rFonts w:ascii="Aptos" w:hAnsi="Aptos"/>
                <w:b/>
                <w:color w:val="222222"/>
                <w:sz w:val="14"/>
              </w:rPr>
              <w:t>Koordynacja priorytetów państwa</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ED6619A" w14:textId="77777777" w:rsidR="00537CA0" w:rsidRPr="00BA4F7F" w:rsidRDefault="00000000">
            <w:pPr>
              <w:spacing w:after="0" w:line="228" w:lineRule="auto"/>
              <w:jc w:val="center"/>
            </w:pPr>
            <w:r w:rsidRPr="00BA4F7F">
              <w:rPr>
                <w:rFonts w:ascii="Aptos" w:hAnsi="Aptos"/>
                <w:color w:val="222222"/>
                <w:sz w:val="14"/>
              </w:rPr>
              <w:t>40 pkt</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016B5CD7" w14:textId="77777777" w:rsidR="00537CA0" w:rsidRPr="00BA4F7F" w:rsidRDefault="00000000">
            <w:pPr>
              <w:spacing w:after="0" w:line="228" w:lineRule="auto"/>
              <w:jc w:val="center"/>
            </w:pPr>
            <w:r w:rsidRPr="00BA4F7F">
              <w:rPr>
                <w:rFonts w:ascii="Aptos" w:hAnsi="Aptos"/>
                <w:color w:val="222222"/>
                <w:sz w:val="14"/>
              </w:rPr>
              <w:t>40,0</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0ED55C61" w14:textId="77777777" w:rsidR="00537CA0" w:rsidRPr="00BA4F7F" w:rsidRDefault="00000000">
            <w:pPr>
              <w:spacing w:after="0" w:line="228" w:lineRule="auto"/>
              <w:jc w:val="center"/>
            </w:pPr>
            <w:r w:rsidRPr="00BA4F7F">
              <w:rPr>
                <w:rFonts w:ascii="Aptos" w:hAnsi="Aptos"/>
                <w:color w:val="222222"/>
                <w:sz w:val="14"/>
              </w:rPr>
              <w:t>33,3%</w:t>
            </w:r>
          </w:p>
        </w:tc>
      </w:tr>
      <w:tr w:rsidR="00537CA0" w:rsidRPr="00BA4F7F" w14:paraId="39B89DE1"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4FC4D65E" w14:textId="77777777" w:rsidR="00537CA0" w:rsidRPr="00BA4F7F" w:rsidRDefault="00000000">
            <w:pPr>
              <w:spacing w:after="0" w:line="228" w:lineRule="auto"/>
              <w:jc w:val="left"/>
            </w:pPr>
            <w:r w:rsidRPr="00BA4F7F">
              <w:rPr>
                <w:rFonts w:ascii="Aptos" w:hAnsi="Aptos"/>
                <w:b/>
                <w:color w:val="222222"/>
                <w:sz w:val="14"/>
              </w:rPr>
              <w:t>Administracja masowa i dostępność usług</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4D60A2A3" w14:textId="77777777" w:rsidR="00537CA0" w:rsidRPr="00BA4F7F" w:rsidRDefault="00000000">
            <w:pPr>
              <w:spacing w:after="0" w:line="228" w:lineRule="auto"/>
              <w:jc w:val="center"/>
            </w:pPr>
            <w:r w:rsidRPr="00BA4F7F">
              <w:rPr>
                <w:rFonts w:ascii="Aptos" w:hAnsi="Aptos"/>
                <w:color w:val="222222"/>
                <w:sz w:val="14"/>
              </w:rPr>
              <w:t>45 pkt</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F4C1824" w14:textId="77777777" w:rsidR="00537CA0" w:rsidRPr="00BA4F7F" w:rsidRDefault="00000000">
            <w:pPr>
              <w:spacing w:after="0" w:line="228" w:lineRule="auto"/>
              <w:jc w:val="center"/>
            </w:pPr>
            <w:r w:rsidRPr="00BA4F7F">
              <w:rPr>
                <w:rFonts w:ascii="Aptos" w:hAnsi="Aptos"/>
                <w:color w:val="222222"/>
                <w:sz w:val="14"/>
              </w:rPr>
              <w:t>45,0</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7546D725" w14:textId="77777777" w:rsidR="00537CA0" w:rsidRPr="00BA4F7F" w:rsidRDefault="00000000">
            <w:pPr>
              <w:spacing w:after="0" w:line="228" w:lineRule="auto"/>
              <w:jc w:val="center"/>
            </w:pPr>
            <w:r w:rsidRPr="00BA4F7F">
              <w:rPr>
                <w:rFonts w:ascii="Aptos" w:hAnsi="Aptos"/>
                <w:color w:val="222222"/>
                <w:sz w:val="14"/>
              </w:rPr>
              <w:t>33,3%</w:t>
            </w:r>
          </w:p>
        </w:tc>
      </w:tr>
      <w:tr w:rsidR="00537CA0" w:rsidRPr="00BA4F7F" w14:paraId="63E75639"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A8D88E4" w14:textId="77777777" w:rsidR="00537CA0" w:rsidRPr="00BA4F7F" w:rsidRDefault="00000000">
            <w:pPr>
              <w:spacing w:after="0" w:line="228" w:lineRule="auto"/>
              <w:jc w:val="left"/>
            </w:pPr>
            <w:r w:rsidRPr="00BA4F7F">
              <w:rPr>
                <w:rFonts w:ascii="Aptos" w:hAnsi="Aptos"/>
                <w:b/>
                <w:color w:val="222222"/>
                <w:sz w:val="14"/>
              </w:rPr>
              <w:t>Zasoby, zamówienia i nadzór wykonawczy</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22C98FF6" w14:textId="77777777" w:rsidR="00537CA0" w:rsidRPr="00BA4F7F" w:rsidRDefault="00000000">
            <w:pPr>
              <w:spacing w:after="0" w:line="228" w:lineRule="auto"/>
              <w:jc w:val="center"/>
            </w:pPr>
            <w:r w:rsidRPr="00BA4F7F">
              <w:rPr>
                <w:rFonts w:ascii="Aptos" w:hAnsi="Aptos"/>
                <w:color w:val="222222"/>
                <w:sz w:val="14"/>
              </w:rPr>
              <w:t>45 pkt</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29A49108" w14:textId="77777777" w:rsidR="00537CA0" w:rsidRPr="00BA4F7F" w:rsidRDefault="00000000">
            <w:pPr>
              <w:spacing w:after="0" w:line="228" w:lineRule="auto"/>
              <w:jc w:val="center"/>
            </w:pPr>
            <w:r w:rsidRPr="00BA4F7F">
              <w:rPr>
                <w:rFonts w:ascii="Aptos" w:hAnsi="Aptos"/>
                <w:color w:val="222222"/>
                <w:sz w:val="14"/>
              </w:rPr>
              <w:t>45,0</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295CB062" w14:textId="77777777" w:rsidR="00537CA0" w:rsidRPr="00BA4F7F" w:rsidRDefault="00000000">
            <w:pPr>
              <w:spacing w:after="0" w:line="228" w:lineRule="auto"/>
              <w:jc w:val="center"/>
            </w:pPr>
            <w:r w:rsidRPr="00BA4F7F">
              <w:rPr>
                <w:rFonts w:ascii="Aptos" w:hAnsi="Aptos"/>
                <w:color w:val="222222"/>
                <w:sz w:val="14"/>
              </w:rPr>
              <w:t>33,3%</w:t>
            </w:r>
          </w:p>
        </w:tc>
      </w:tr>
    </w:tbl>
    <w:p w14:paraId="3CE3B282" w14:textId="77777777" w:rsidR="00537CA0" w:rsidRPr="00BA4F7F" w:rsidRDefault="00537CA0">
      <w:pPr>
        <w:spacing w:after="20"/>
      </w:pPr>
    </w:p>
    <w:p w14:paraId="0643EAFD" w14:textId="77777777" w:rsidR="00537CA0" w:rsidRPr="00BA4F7F" w:rsidRDefault="00000000">
      <w:pPr>
        <w:keepLines/>
        <w:spacing w:after="30" w:line="240" w:lineRule="auto"/>
      </w:pPr>
      <w:r w:rsidRPr="00BA4F7F">
        <w:rPr>
          <w:b/>
          <w:color w:val="1F4E79"/>
          <w:sz w:val="16"/>
        </w:rPr>
        <w:t xml:space="preserve">Funkcja w IRS i sposób liczenia. </w:t>
      </w:r>
      <w:proofErr w:type="spellStart"/>
      <w:r w:rsidRPr="00BA4F7F">
        <w:rPr>
          <w:color w:val="222222"/>
          <w:sz w:val="16"/>
        </w:rPr>
        <w:t>Subobszar</w:t>
      </w:r>
      <w:proofErr w:type="spellEnd"/>
      <w:r w:rsidRPr="00BA4F7F">
        <w:rPr>
          <w:color w:val="222222"/>
          <w:sz w:val="16"/>
        </w:rPr>
        <w:t xml:space="preserve"> oddziela zdolność wykonawczą od legalności organów i stabilności prawa. Trzy pozycje mają równe wagi, a każda jest średnią adekwatności zarządzania, zdolności reakcji, efektu publicznego i dostępności oraz rozliczalności, kontroli i korekty. Model premiuje nie samo uruchomienie działania, lecz dostarczenie rezultatu i uczenie się instytucji.</w:t>
      </w:r>
    </w:p>
    <w:p w14:paraId="769AA381" w14:textId="77777777" w:rsidR="00537CA0" w:rsidRPr="00BA4F7F" w:rsidRDefault="00000000">
      <w:pPr>
        <w:keepLines/>
        <w:spacing w:after="30" w:line="240" w:lineRule="auto"/>
      </w:pPr>
      <w:r w:rsidRPr="00BA4F7F">
        <w:rPr>
          <w:b/>
          <w:color w:val="1F4E79"/>
          <w:sz w:val="16"/>
        </w:rPr>
        <w:t xml:space="preserve">Diagnoza i kontekst 2020–2025. </w:t>
      </w:r>
      <w:r w:rsidRPr="00BA4F7F">
        <w:rPr>
          <w:color w:val="222222"/>
          <w:sz w:val="16"/>
        </w:rPr>
        <w:t>Wynik spada z 60,0 pkt w 2020 r. do 48,3 pkt w 2021 r., wzrasta do 66,7 pkt w 2022 r., następnie obniża się do 45,0 pkt w 2023 r., 40,0 pkt w 2024 r. i 43,3 pkt w 2025 r. Szczyt 2022 r. odzwierciedla realną sprawność reaktywną: przyjęcie uchodźców, szybkie instrumenty energetyczne i mobilizację bezpieczeństwa. Późniejszy spadek pokazuje, że nadzwyczajne mechanizmy nie zostały w pełni przełożone na rutynowe zarządzanie portfelem reform, koordynację międzyresortową, stabilne mierniki i odpowiedzialność właścicieli procesów. Administracja potrafi prowadzić masowe usługi, lecz słabiej domyka działania wymagające współpracy wielu ośrodków.</w:t>
      </w:r>
    </w:p>
    <w:p w14:paraId="257F8387" w14:textId="77777777" w:rsidR="00537CA0" w:rsidRPr="00BA4F7F" w:rsidRDefault="00000000">
      <w:pPr>
        <w:keepLines/>
        <w:spacing w:after="30" w:line="240" w:lineRule="auto"/>
      </w:pPr>
      <w:r w:rsidRPr="00BA4F7F">
        <w:rPr>
          <w:b/>
          <w:color w:val="1F4E79"/>
          <w:sz w:val="16"/>
        </w:rPr>
        <w:t xml:space="preserve">Znaczenie dla racji stanu. </w:t>
      </w:r>
      <w:r w:rsidRPr="00BA4F7F">
        <w:rPr>
          <w:color w:val="222222"/>
          <w:sz w:val="16"/>
        </w:rPr>
        <w:t>Sprawność instytucjonalna jest mnożnikiem wszystkich nakładów. Ten sam budżet może tworzyć różną zdolność zależnie od jakości przygotowania, koordynacji, danych i korekty. Słabość szczególnie obciąża projekty międzyresortowe – demografię, ochronę ludności, cyfryzację, zdrowie i transformację energetyczną.</w:t>
      </w:r>
    </w:p>
    <w:p w14:paraId="27E588AB" w14:textId="77777777" w:rsidR="00537CA0" w:rsidRPr="00BA4F7F" w:rsidRDefault="00000000">
      <w:pPr>
        <w:keepLines/>
        <w:spacing w:after="80" w:line="250" w:lineRule="auto"/>
      </w:pPr>
      <w:r w:rsidRPr="00BA4F7F">
        <w:rPr>
          <w:color w:val="222222"/>
          <w:sz w:val="18"/>
        </w:rPr>
        <w:t>Wniosek. Kryzys może tymczasowo podnosić sprawność, ponieważ upraszcza cel, wzmacnia przywództwo i obniża koszt koordynacji. Nie oznacza to jednak wysokiej jakości instytucji w warunkach normalnych. Państwo jest silniejsze, gdy potrafi utrzymać tempo i odpowiedzialność bez presji nadzwyczajnej, a nie tylko wtedy, gdy zagrożenie wymusza koncentrację.</w:t>
      </w:r>
    </w:p>
    <w:tbl>
      <w:tblPr>
        <w:tblW w:w="0" w:type="auto"/>
        <w:jc w:val="center"/>
        <w:tblLayout w:type="fixed"/>
        <w:tblLook w:val="04A0" w:firstRow="1" w:lastRow="0" w:firstColumn="1" w:lastColumn="0" w:noHBand="0" w:noVBand="1"/>
      </w:tblPr>
      <w:tblGrid>
        <w:gridCol w:w="1474"/>
        <w:gridCol w:w="7540"/>
      </w:tblGrid>
      <w:tr w:rsidR="00537CA0" w:rsidRPr="00BA4F7F" w14:paraId="411CE7B7"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B23A48"/>
            <w:tcMar>
              <w:top w:w="45" w:type="dxa"/>
              <w:left w:w="70" w:type="dxa"/>
              <w:bottom w:w="45" w:type="dxa"/>
              <w:right w:w="70" w:type="dxa"/>
            </w:tcMar>
            <w:vAlign w:val="center"/>
          </w:tcPr>
          <w:p w14:paraId="2BB8CB8F" w14:textId="77777777" w:rsidR="003357E9" w:rsidRPr="00BA4F7F" w:rsidRDefault="00000000">
            <w:r w:rsidRPr="00BA4F7F">
              <w:rPr>
                <w:b/>
              </w:rPr>
              <w:t>STATUS OSTRZEGAWCZY 2025</w:t>
            </w:r>
          </w:p>
        </w:tc>
        <w:tc>
          <w:tcPr>
            <w:tcW w:w="7540" w:type="dxa"/>
            <w:tcBorders>
              <w:top w:val="single" w:sz="5" w:space="0" w:color="1F4E79"/>
              <w:left w:val="single" w:sz="5" w:space="0" w:color="1F4E79"/>
              <w:bottom w:val="single" w:sz="5" w:space="0" w:color="1F4E79"/>
              <w:right w:val="single" w:sz="5" w:space="0" w:color="1F4E79"/>
            </w:tcBorders>
            <w:shd w:val="clear" w:color="auto" w:fill="FCE8EA"/>
            <w:tcMar>
              <w:top w:w="45" w:type="dxa"/>
              <w:left w:w="70" w:type="dxa"/>
              <w:bottom w:w="45" w:type="dxa"/>
              <w:right w:w="70" w:type="dxa"/>
            </w:tcMar>
            <w:vAlign w:val="center"/>
          </w:tcPr>
          <w:p w14:paraId="6B65F2B5" w14:textId="77777777" w:rsidR="003357E9" w:rsidRPr="00BA4F7F" w:rsidRDefault="00000000">
            <w:r w:rsidRPr="00BA4F7F">
              <w:t>Pogorszenie strukturalne: spadek od 2022 do 2025 r. wynosi 23,3 pkt przy dwóch latach pogorszenia. Trzy ostatnie wyniki są niższe niż 50 pkt, dlatego występuje także sygnał trwałej słabości.</w:t>
            </w:r>
          </w:p>
        </w:tc>
      </w:tr>
      <w:tr w:rsidR="00537CA0" w:rsidRPr="00BA4F7F" w14:paraId="75C67C80"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0CF228EE"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4118F6F2" w14:textId="77777777" w:rsidR="00537CA0" w:rsidRPr="00BA4F7F" w:rsidRDefault="00000000">
            <w:pPr>
              <w:spacing w:after="0" w:line="240" w:lineRule="auto"/>
              <w:jc w:val="left"/>
            </w:pPr>
            <w:r w:rsidRPr="00BA4F7F">
              <w:rPr>
                <w:color w:val="222222"/>
                <w:sz w:val="15"/>
              </w:rPr>
              <w:t>Właściciele procesów, portfel reform z liniami bazowymi, wspólne dane i mierniki rezultatu, silna koordynacja oraz obowiązkowa ewaluacja i korekta ex post.</w:t>
            </w:r>
          </w:p>
        </w:tc>
      </w:tr>
      <w:tr w:rsidR="00537CA0" w:rsidRPr="00BA4F7F" w14:paraId="60CA9065"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5AA32B7E"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40C85751" w14:textId="77777777" w:rsidR="00537CA0" w:rsidRPr="00BA4F7F" w:rsidRDefault="00000000">
            <w:pPr>
              <w:spacing w:after="0" w:line="240" w:lineRule="auto"/>
              <w:jc w:val="left"/>
            </w:pPr>
            <w:r w:rsidRPr="00BA4F7F">
              <w:rPr>
                <w:color w:val="222222"/>
                <w:sz w:val="15"/>
              </w:rPr>
              <w:t>Większy udział reform dowożonych zgodnie z linią bazową, jawne rozliczenie efektów, krótsze opóźnienia międzyresortowe i szybkie zamykanie luk wykrywanych przez audyt.</w:t>
            </w:r>
          </w:p>
        </w:tc>
      </w:tr>
    </w:tbl>
    <w:p w14:paraId="561267F4" w14:textId="77777777" w:rsidR="00537CA0" w:rsidRPr="00BA4F7F" w:rsidRDefault="00000000">
      <w:pPr>
        <w:spacing w:after="0"/>
      </w:pPr>
      <w:r w:rsidRPr="00BA4F7F">
        <w:br w:type="page"/>
      </w:r>
    </w:p>
    <w:p w14:paraId="1B2ADFBF" w14:textId="77777777" w:rsidR="00537CA0" w:rsidRPr="00BA4F7F" w:rsidRDefault="00000000">
      <w:pPr>
        <w:pStyle w:val="Nagwek2"/>
        <w:spacing w:before="0" w:after="60"/>
      </w:pPr>
      <w:r w:rsidRPr="00BA4F7F">
        <w:rPr>
          <w:rFonts w:ascii="Aptos Display" w:hAnsi="Aptos Display"/>
          <w:sz w:val="30"/>
        </w:rPr>
        <w:lastRenderedPageBreak/>
        <w:t>14A.19. Stabilność i egzekwowalność prawa</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0C2099EF"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56D66FA3" w14:textId="77777777" w:rsidR="00537CA0" w:rsidRPr="00BA4F7F" w:rsidRDefault="00000000">
            <w:pPr>
              <w:spacing w:after="0" w:line="240" w:lineRule="auto"/>
              <w:jc w:val="left"/>
            </w:pPr>
            <w:r w:rsidRPr="00BA4F7F">
              <w:rPr>
                <w:rFonts w:ascii="Aptos" w:hAnsi="Aptos"/>
                <w:b/>
                <w:color w:val="FFFFFF"/>
                <w:sz w:val="14"/>
              </w:rPr>
              <w:t>WYNIK 2025</w:t>
            </w:r>
            <w:r w:rsidRPr="00BA4F7F">
              <w:rPr>
                <w:rFonts w:ascii="Aptos" w:hAnsi="Aptos"/>
                <w:b/>
                <w:color w:val="FFFFFF"/>
                <w:sz w:val="14"/>
              </w:rPr>
              <w:br/>
            </w:r>
            <w:r w:rsidRPr="00BA4F7F">
              <w:rPr>
                <w:rFonts w:ascii="Aptos" w:hAnsi="Aptos"/>
                <w:b/>
                <w:color w:val="FFFFFF"/>
                <w:sz w:val="34"/>
              </w:rPr>
              <w:t>40,0</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7B85A477" w14:textId="77777777" w:rsidR="00537CA0" w:rsidRPr="00BA4F7F" w:rsidRDefault="00000000">
            <w:pPr>
              <w:spacing w:after="0" w:line="240" w:lineRule="auto"/>
              <w:jc w:val="left"/>
            </w:pPr>
            <w:r w:rsidRPr="00BA4F7F">
              <w:rPr>
                <w:rFonts w:ascii="Aptos" w:hAnsi="Aptos"/>
                <w:b/>
                <w:color w:val="FFFFFF"/>
                <w:sz w:val="14"/>
              </w:rPr>
              <w:t>ZMIANA 2020–2025</w:t>
            </w:r>
            <w:r w:rsidRPr="00BA4F7F">
              <w:rPr>
                <w:rFonts w:ascii="Aptos" w:hAnsi="Aptos"/>
                <w:b/>
                <w:color w:val="FFFFFF"/>
                <w:sz w:val="14"/>
              </w:rPr>
              <w:br/>
            </w:r>
            <w:r w:rsidRPr="00BA4F7F">
              <w:rPr>
                <w:rFonts w:ascii="Aptos" w:hAnsi="Aptos"/>
                <w:b/>
                <w:color w:val="FFFFFF"/>
                <w:sz w:val="34"/>
              </w:rPr>
              <w:t>−3,3</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51036AC8"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słaba lub niepełna odporność</w:t>
            </w:r>
          </w:p>
          <w:p w14:paraId="0B2456BF" w14:textId="77777777" w:rsidR="003357E9" w:rsidRPr="00BA4F7F" w:rsidRDefault="00000000">
            <w:pPr>
              <w:spacing w:before="60" w:after="0"/>
            </w:pPr>
            <w:r w:rsidRPr="00BA4F7F">
              <w:rPr>
                <w:b/>
                <w:color w:val="666666"/>
                <w:sz w:val="14"/>
              </w:rPr>
              <w:t>STATUS OSTRZEGAWCZY 2025</w:t>
            </w:r>
            <w:r w:rsidRPr="00BA4F7F">
              <w:rPr>
                <w:b/>
                <w:color w:val="666666"/>
                <w:sz w:val="14"/>
              </w:rPr>
              <w:br/>
            </w:r>
            <w:r w:rsidRPr="00BA4F7F">
              <w:rPr>
                <w:b/>
                <w:color w:val="7A6B8E"/>
                <w:sz w:val="16"/>
              </w:rPr>
              <w:t>SYGNAŁ TRWAŁEJ SŁABOŚCI</w:t>
            </w:r>
          </w:p>
        </w:tc>
      </w:tr>
    </w:tbl>
    <w:p w14:paraId="59BE104F" w14:textId="77777777" w:rsidR="00537CA0" w:rsidRPr="00BA4F7F" w:rsidRDefault="00000000">
      <w:pPr>
        <w:keepLines/>
        <w:spacing w:before="20" w:after="30"/>
        <w:jc w:val="center"/>
      </w:pPr>
      <w:r w:rsidRPr="00BA4F7F">
        <w:rPr>
          <w:noProof/>
        </w:rPr>
        <w:drawing>
          <wp:inline distT="0" distB="0" distL="0" distR="0" wp14:anchorId="5386AEC7" wp14:editId="70EBE7D3">
            <wp:extent cx="5688000" cy="1119880"/>
            <wp:effectExtent l="0" t="0" r="0" b="0"/>
            <wp:docPr id="1690576339" name="Picture 1690576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19.png"/>
                    <pic:cNvPicPr/>
                  </pic:nvPicPr>
                  <pic:blipFill>
                    <a:blip r:embed="rId43"/>
                    <a:stretch>
                      <a:fillRect/>
                    </a:stretch>
                  </pic:blipFill>
                  <pic:spPr>
                    <a:xfrm>
                      <a:off x="0" y="0"/>
                      <a:ext cx="5688000" cy="1119880"/>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3969"/>
        <w:gridCol w:w="2154"/>
        <w:gridCol w:w="1531"/>
        <w:gridCol w:w="1361"/>
      </w:tblGrid>
      <w:tr w:rsidR="00537CA0" w:rsidRPr="00BA4F7F" w14:paraId="4A9AFA68" w14:textId="77777777">
        <w:trPr>
          <w:cantSplit/>
          <w:tblHeader/>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6B848029" w14:textId="77777777" w:rsidR="00537CA0" w:rsidRPr="00BA4F7F" w:rsidRDefault="00000000">
            <w:pPr>
              <w:spacing w:after="0"/>
              <w:jc w:val="center"/>
            </w:pPr>
            <w:r w:rsidRPr="00BA4F7F">
              <w:rPr>
                <w:rFonts w:ascii="Aptos" w:hAnsi="Aptos"/>
                <w:b/>
                <w:color w:val="FFFFFF"/>
                <w:sz w:val="14"/>
              </w:rPr>
              <w:t>Składnik modelu</w:t>
            </w:r>
          </w:p>
        </w:tc>
        <w:tc>
          <w:tcPr>
            <w:tcW w:w="2154"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5535A073" w14:textId="77777777" w:rsidR="00537CA0" w:rsidRPr="00BA4F7F" w:rsidRDefault="00000000">
            <w:pPr>
              <w:spacing w:after="0"/>
              <w:jc w:val="center"/>
            </w:pPr>
            <w:r w:rsidRPr="00BA4F7F">
              <w:rPr>
                <w:rFonts w:ascii="Aptos" w:hAnsi="Aptos"/>
                <w:b/>
                <w:color w:val="FFFFFF"/>
                <w:sz w:val="14"/>
              </w:rPr>
              <w:t>Wartość / ocena 2025</w:t>
            </w:r>
          </w:p>
        </w:tc>
        <w:tc>
          <w:tcPr>
            <w:tcW w:w="153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055949DA" w14:textId="77777777" w:rsidR="00537CA0" w:rsidRPr="00BA4F7F" w:rsidRDefault="00000000">
            <w:pPr>
              <w:spacing w:after="0"/>
              <w:jc w:val="center"/>
            </w:pPr>
            <w:r w:rsidRPr="00BA4F7F">
              <w:rPr>
                <w:rFonts w:ascii="Aptos" w:hAnsi="Aptos"/>
                <w:b/>
                <w:color w:val="FFFFFF"/>
                <w:sz w:val="14"/>
              </w:rPr>
              <w:t>Punkty IRS</w:t>
            </w:r>
          </w:p>
        </w:tc>
        <w:tc>
          <w:tcPr>
            <w:tcW w:w="136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4D72DD27" w14:textId="77777777" w:rsidR="00537CA0" w:rsidRPr="00BA4F7F" w:rsidRDefault="00000000">
            <w:pPr>
              <w:spacing w:after="0"/>
              <w:jc w:val="center"/>
            </w:pPr>
            <w:r w:rsidRPr="00BA4F7F">
              <w:rPr>
                <w:rFonts w:ascii="Aptos" w:hAnsi="Aptos"/>
                <w:b/>
                <w:color w:val="FFFFFF"/>
                <w:sz w:val="14"/>
              </w:rPr>
              <w:t>Waga</w:t>
            </w:r>
          </w:p>
        </w:tc>
      </w:tr>
      <w:tr w:rsidR="00537CA0" w:rsidRPr="00BA4F7F" w14:paraId="1955B69B"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6854E6F" w14:textId="77777777" w:rsidR="00537CA0" w:rsidRPr="00BA4F7F" w:rsidRDefault="00000000">
            <w:pPr>
              <w:spacing w:after="0" w:line="228" w:lineRule="auto"/>
              <w:jc w:val="left"/>
            </w:pPr>
            <w:r w:rsidRPr="00BA4F7F">
              <w:rPr>
                <w:rFonts w:ascii="Aptos" w:hAnsi="Aptos"/>
                <w:b/>
                <w:color w:val="222222"/>
                <w:sz w:val="14"/>
              </w:rPr>
              <w:t>Prawo gospodarcze i podatkowe</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31ECC52" w14:textId="77777777" w:rsidR="00537CA0" w:rsidRPr="00BA4F7F" w:rsidRDefault="00000000">
            <w:pPr>
              <w:spacing w:after="0" w:line="228" w:lineRule="auto"/>
              <w:jc w:val="center"/>
            </w:pPr>
            <w:r w:rsidRPr="00BA4F7F">
              <w:rPr>
                <w:rFonts w:ascii="Aptos" w:hAnsi="Aptos"/>
                <w:color w:val="222222"/>
                <w:sz w:val="14"/>
              </w:rPr>
              <w:t>45 pkt</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F913104" w14:textId="77777777" w:rsidR="00537CA0" w:rsidRPr="00BA4F7F" w:rsidRDefault="00000000">
            <w:pPr>
              <w:spacing w:after="0" w:line="228" w:lineRule="auto"/>
              <w:jc w:val="center"/>
            </w:pPr>
            <w:r w:rsidRPr="00BA4F7F">
              <w:rPr>
                <w:rFonts w:ascii="Aptos" w:hAnsi="Aptos"/>
                <w:color w:val="222222"/>
                <w:sz w:val="14"/>
              </w:rPr>
              <w:t>45,0</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40124E61" w14:textId="77777777" w:rsidR="00537CA0" w:rsidRPr="00BA4F7F" w:rsidRDefault="00000000">
            <w:pPr>
              <w:spacing w:after="0" w:line="228" w:lineRule="auto"/>
              <w:jc w:val="center"/>
            </w:pPr>
            <w:r w:rsidRPr="00BA4F7F">
              <w:rPr>
                <w:rFonts w:ascii="Aptos" w:hAnsi="Aptos"/>
                <w:color w:val="222222"/>
                <w:sz w:val="14"/>
              </w:rPr>
              <w:t>33,3%</w:t>
            </w:r>
          </w:p>
        </w:tc>
      </w:tr>
      <w:tr w:rsidR="00537CA0" w:rsidRPr="00BA4F7F" w14:paraId="500C5C9B"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84B2A35" w14:textId="77777777" w:rsidR="00537CA0" w:rsidRPr="00BA4F7F" w:rsidRDefault="00000000">
            <w:pPr>
              <w:spacing w:after="0" w:line="228" w:lineRule="auto"/>
              <w:jc w:val="left"/>
            </w:pPr>
            <w:r w:rsidRPr="00BA4F7F">
              <w:rPr>
                <w:rFonts w:ascii="Aptos" w:hAnsi="Aptos"/>
                <w:b/>
                <w:color w:val="222222"/>
                <w:sz w:val="14"/>
              </w:rPr>
              <w:t>Własność, kontrakty i prawa nabyte</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469EFB2F" w14:textId="77777777" w:rsidR="00537CA0" w:rsidRPr="00BA4F7F" w:rsidRDefault="00000000">
            <w:pPr>
              <w:spacing w:after="0" w:line="228" w:lineRule="auto"/>
              <w:jc w:val="center"/>
            </w:pPr>
            <w:r w:rsidRPr="00BA4F7F">
              <w:rPr>
                <w:rFonts w:ascii="Aptos" w:hAnsi="Aptos"/>
                <w:color w:val="222222"/>
                <w:sz w:val="14"/>
              </w:rPr>
              <w:t>35 pkt</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5C17224C" w14:textId="77777777" w:rsidR="00537CA0" w:rsidRPr="00BA4F7F" w:rsidRDefault="00000000">
            <w:pPr>
              <w:spacing w:after="0" w:line="228" w:lineRule="auto"/>
              <w:jc w:val="center"/>
            </w:pPr>
            <w:r w:rsidRPr="00BA4F7F">
              <w:rPr>
                <w:rFonts w:ascii="Aptos" w:hAnsi="Aptos"/>
                <w:color w:val="222222"/>
                <w:sz w:val="14"/>
              </w:rPr>
              <w:t>35,0</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7E8BB0D8" w14:textId="77777777" w:rsidR="00537CA0" w:rsidRPr="00BA4F7F" w:rsidRDefault="00000000">
            <w:pPr>
              <w:spacing w:after="0" w:line="228" w:lineRule="auto"/>
              <w:jc w:val="center"/>
            </w:pPr>
            <w:r w:rsidRPr="00BA4F7F">
              <w:rPr>
                <w:rFonts w:ascii="Aptos" w:hAnsi="Aptos"/>
                <w:color w:val="222222"/>
                <w:sz w:val="14"/>
              </w:rPr>
              <w:t>33,3%</w:t>
            </w:r>
          </w:p>
        </w:tc>
      </w:tr>
      <w:tr w:rsidR="00537CA0" w:rsidRPr="00BA4F7F" w14:paraId="485F6E14"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0549962E" w14:textId="77777777" w:rsidR="00537CA0" w:rsidRPr="00BA4F7F" w:rsidRDefault="00000000">
            <w:pPr>
              <w:spacing w:after="0" w:line="228" w:lineRule="auto"/>
              <w:jc w:val="left"/>
            </w:pPr>
            <w:r w:rsidRPr="00BA4F7F">
              <w:rPr>
                <w:rFonts w:ascii="Aptos" w:hAnsi="Aptos"/>
                <w:b/>
                <w:color w:val="222222"/>
                <w:sz w:val="14"/>
              </w:rPr>
              <w:t>Rozstrzyganie sporów i egzekucja</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3131D74" w14:textId="77777777" w:rsidR="00537CA0" w:rsidRPr="00BA4F7F" w:rsidRDefault="00000000">
            <w:pPr>
              <w:spacing w:after="0" w:line="228" w:lineRule="auto"/>
              <w:jc w:val="center"/>
            </w:pPr>
            <w:r w:rsidRPr="00BA4F7F">
              <w:rPr>
                <w:rFonts w:ascii="Aptos" w:hAnsi="Aptos"/>
                <w:color w:val="222222"/>
                <w:sz w:val="14"/>
              </w:rPr>
              <w:t>40 pkt</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F5DD491" w14:textId="77777777" w:rsidR="00537CA0" w:rsidRPr="00BA4F7F" w:rsidRDefault="00000000">
            <w:pPr>
              <w:spacing w:after="0" w:line="228" w:lineRule="auto"/>
              <w:jc w:val="center"/>
            </w:pPr>
            <w:r w:rsidRPr="00BA4F7F">
              <w:rPr>
                <w:rFonts w:ascii="Aptos" w:hAnsi="Aptos"/>
                <w:color w:val="222222"/>
                <w:sz w:val="14"/>
              </w:rPr>
              <w:t>40,0</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0DB08809" w14:textId="77777777" w:rsidR="00537CA0" w:rsidRPr="00BA4F7F" w:rsidRDefault="00000000">
            <w:pPr>
              <w:spacing w:after="0" w:line="228" w:lineRule="auto"/>
              <w:jc w:val="center"/>
            </w:pPr>
            <w:r w:rsidRPr="00BA4F7F">
              <w:rPr>
                <w:rFonts w:ascii="Aptos" w:hAnsi="Aptos"/>
                <w:color w:val="222222"/>
                <w:sz w:val="14"/>
              </w:rPr>
              <w:t>33,3%</w:t>
            </w:r>
          </w:p>
        </w:tc>
      </w:tr>
    </w:tbl>
    <w:p w14:paraId="100EC092" w14:textId="77777777" w:rsidR="00537CA0" w:rsidRPr="00BA4F7F" w:rsidRDefault="00537CA0">
      <w:pPr>
        <w:spacing w:after="20"/>
      </w:pPr>
    </w:p>
    <w:p w14:paraId="20FE6992" w14:textId="77777777" w:rsidR="00537CA0" w:rsidRPr="00BA4F7F" w:rsidRDefault="00000000">
      <w:pPr>
        <w:keepLines/>
        <w:spacing w:after="30" w:line="240" w:lineRule="auto"/>
      </w:pPr>
      <w:r w:rsidRPr="00BA4F7F">
        <w:rPr>
          <w:b/>
          <w:color w:val="1F4E79"/>
          <w:sz w:val="16"/>
        </w:rPr>
        <w:t xml:space="preserve">Funkcja w IRS i sposób liczenia. </w:t>
      </w:r>
      <w:proofErr w:type="spellStart"/>
      <w:r w:rsidRPr="00BA4F7F">
        <w:rPr>
          <w:color w:val="222222"/>
          <w:sz w:val="16"/>
        </w:rPr>
        <w:t>Subobszar</w:t>
      </w:r>
      <w:proofErr w:type="spellEnd"/>
      <w:r w:rsidRPr="00BA4F7F">
        <w:rPr>
          <w:color w:val="222222"/>
          <w:sz w:val="16"/>
        </w:rPr>
        <w:t xml:space="preserve"> ocenia możliwość długoterminowego planowania i uzyskania skutecznej ochrony praw. Trzy pozycje mają równe wagi, a każda łączy stan prawa, przewidywalność zmian, spójność i wykonalność oraz egzekucję i ochronę praw. Mała liczba ustaw nie daje automatycznie wysokiej oceny; liczy się stabilna praktyka i finalność ochrony.</w:t>
      </w:r>
    </w:p>
    <w:p w14:paraId="5B24D948" w14:textId="77777777" w:rsidR="00537CA0" w:rsidRPr="00BA4F7F" w:rsidRDefault="00000000">
      <w:pPr>
        <w:keepLines/>
        <w:spacing w:after="30" w:line="240" w:lineRule="auto"/>
      </w:pPr>
      <w:r w:rsidRPr="00BA4F7F">
        <w:rPr>
          <w:b/>
          <w:color w:val="1F4E79"/>
          <w:sz w:val="16"/>
        </w:rPr>
        <w:t xml:space="preserve">Diagnoza i kontekst 2020–2025. </w:t>
      </w:r>
      <w:r w:rsidRPr="00BA4F7F">
        <w:rPr>
          <w:color w:val="222222"/>
          <w:sz w:val="16"/>
        </w:rPr>
        <w:t>Wynik spada z 43,3 pkt w 2020 r. do 40,0 pkt w 2021 r. i 35,0 pkt w 2022 r., po czym powoli odbudowuje się do 36,7 pkt w 2023 r., 38,3 pkt w 2024 r. i 40,0 pkt w 2025 r. Minimum z 2022 r. jest związane między innymi z gwałtownymi zmianami podatkowymi i korektami Polskiego Ładu. Późniejsza stabilizacja ograniczyła część chaosu, lecz nie przyniosła potwierdzonego przełomu w ochronie własności, kontraktów, praw nabytych ani czasie prawomocnego rozstrzygania sporów. Najsłabszy komponent dotyczy właśnie trwałości i egzekucji praw.</w:t>
      </w:r>
    </w:p>
    <w:p w14:paraId="2FB097CB" w14:textId="77777777" w:rsidR="00537CA0" w:rsidRPr="00BA4F7F" w:rsidRDefault="00000000">
      <w:pPr>
        <w:keepLines/>
        <w:spacing w:after="30" w:line="240" w:lineRule="auto"/>
      </w:pPr>
      <w:r w:rsidRPr="00BA4F7F">
        <w:rPr>
          <w:b/>
          <w:color w:val="1F4E79"/>
          <w:sz w:val="16"/>
        </w:rPr>
        <w:t xml:space="preserve">Znaczenie dla racji stanu. </w:t>
      </w:r>
      <w:r w:rsidRPr="00BA4F7F">
        <w:rPr>
          <w:color w:val="222222"/>
          <w:sz w:val="16"/>
        </w:rPr>
        <w:t>Przewidywalność prawa wpływa na stopę inwestycji, koszt kapitału, innowacje i zaufanie do państwa. Częste zmiany najbardziej obciążają podmioty mniejsze, które nie posiadają rozbudowanych zespołów prawnych. W długim okresie premiują krótkoterminowość i decyzje łatwe do odwrócenia.</w:t>
      </w:r>
    </w:p>
    <w:p w14:paraId="24BC0B28" w14:textId="77777777" w:rsidR="00537CA0" w:rsidRPr="00BA4F7F" w:rsidRDefault="00000000">
      <w:pPr>
        <w:keepLines/>
        <w:spacing w:after="80" w:line="250" w:lineRule="auto"/>
      </w:pPr>
      <w:r w:rsidRPr="00BA4F7F">
        <w:rPr>
          <w:color w:val="222222"/>
          <w:sz w:val="18"/>
        </w:rPr>
        <w:t>Wniosek. Skutek niestabilności utrzymuje się dłużej niż sama niestabilna regulacja. Przedsiębiorcy i obywatele uczą się skracać horyzont decyzji, nawet gdy tempo zmian później maleje. Powstaje efekt pamięci instytucjonalnej: powrót do 40 pkt nie oznacza automatycznego odzyskania zaufania utraconego przy wcześniejszych korektach.</w:t>
      </w:r>
    </w:p>
    <w:tbl>
      <w:tblPr>
        <w:tblW w:w="0" w:type="auto"/>
        <w:jc w:val="center"/>
        <w:tblLayout w:type="fixed"/>
        <w:tblLook w:val="04A0" w:firstRow="1" w:lastRow="0" w:firstColumn="1" w:lastColumn="0" w:noHBand="0" w:noVBand="1"/>
      </w:tblPr>
      <w:tblGrid>
        <w:gridCol w:w="1474"/>
        <w:gridCol w:w="7540"/>
      </w:tblGrid>
      <w:tr w:rsidR="00537CA0" w:rsidRPr="00BA4F7F" w14:paraId="3BAF748A"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B23A48"/>
            <w:tcMar>
              <w:top w:w="45" w:type="dxa"/>
              <w:left w:w="70" w:type="dxa"/>
              <w:bottom w:w="45" w:type="dxa"/>
              <w:right w:w="70" w:type="dxa"/>
            </w:tcMar>
            <w:vAlign w:val="center"/>
          </w:tcPr>
          <w:p w14:paraId="5D04D126" w14:textId="77777777" w:rsidR="003357E9" w:rsidRPr="00BA4F7F" w:rsidRDefault="00000000">
            <w:r w:rsidRPr="00BA4F7F">
              <w:rPr>
                <w:b/>
              </w:rPr>
              <w:t>STATUS OSTRZEGAWCZY 2025</w:t>
            </w:r>
          </w:p>
        </w:tc>
        <w:tc>
          <w:tcPr>
            <w:tcW w:w="7540" w:type="dxa"/>
            <w:tcBorders>
              <w:top w:val="single" w:sz="5" w:space="0" w:color="1F4E79"/>
              <w:left w:val="single" w:sz="5" w:space="0" w:color="1F4E79"/>
              <w:bottom w:val="single" w:sz="5" w:space="0" w:color="1F4E79"/>
              <w:right w:val="single" w:sz="5" w:space="0" w:color="1F4E79"/>
            </w:tcBorders>
            <w:shd w:val="clear" w:color="auto" w:fill="FCE8EA"/>
            <w:tcMar>
              <w:top w:w="45" w:type="dxa"/>
              <w:left w:w="70" w:type="dxa"/>
              <w:bottom w:w="45" w:type="dxa"/>
              <w:right w:w="70" w:type="dxa"/>
            </w:tcMar>
            <w:vAlign w:val="center"/>
          </w:tcPr>
          <w:p w14:paraId="1CD893EC" w14:textId="77777777" w:rsidR="003357E9" w:rsidRPr="00BA4F7F" w:rsidRDefault="00000000">
            <w:r w:rsidRPr="00BA4F7F">
              <w:t xml:space="preserve">Sygnał trwałej słabości: </w:t>
            </w:r>
            <w:proofErr w:type="spellStart"/>
            <w:r w:rsidRPr="00BA4F7F">
              <w:t>subobszar</w:t>
            </w:r>
            <w:proofErr w:type="spellEnd"/>
            <w:r w:rsidRPr="00BA4F7F">
              <w:t xml:space="preserve"> pozostaje poniżej 50 pkt w latach 2023–2025. Nie jest to formalny alert, ale wymaga odrębnego komentarza i monitorowania trwałości poprawy.</w:t>
            </w:r>
          </w:p>
        </w:tc>
      </w:tr>
      <w:tr w:rsidR="00537CA0" w:rsidRPr="00BA4F7F" w14:paraId="116B6AB9"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5516A7A0"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612988A1" w14:textId="77777777" w:rsidR="00537CA0" w:rsidRPr="00BA4F7F" w:rsidRDefault="00000000">
            <w:pPr>
              <w:spacing w:after="0" w:line="240" w:lineRule="auto"/>
              <w:jc w:val="left"/>
            </w:pPr>
            <w:r w:rsidRPr="00BA4F7F">
              <w:rPr>
                <w:color w:val="222222"/>
                <w:sz w:val="15"/>
              </w:rPr>
              <w:t>Realne vacatio legis, stabilność podatkowa, lepsze OSR i konsultacje, spójna wykładnia oraz mierzalna poprawa czasu i skuteczności egzekucji praw.</w:t>
            </w:r>
          </w:p>
        </w:tc>
      </w:tr>
      <w:tr w:rsidR="00537CA0" w:rsidRPr="00BA4F7F" w14:paraId="7EB6DDF2"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60E9F3B4"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0A371896" w14:textId="77777777" w:rsidR="00537CA0" w:rsidRPr="00BA4F7F" w:rsidRDefault="00000000">
            <w:pPr>
              <w:spacing w:after="0" w:line="240" w:lineRule="auto"/>
              <w:jc w:val="left"/>
            </w:pPr>
            <w:r w:rsidRPr="00BA4F7F">
              <w:rPr>
                <w:color w:val="222222"/>
                <w:sz w:val="15"/>
              </w:rPr>
              <w:t>Mniej korekt nadzwyczajnych, dłuższy horyzont dostosowania, stabilne interpretacje i skrócenie czasu uzyskania prawomocnej oraz wykonywanej ochrony.</w:t>
            </w:r>
          </w:p>
        </w:tc>
      </w:tr>
    </w:tbl>
    <w:p w14:paraId="486D9A9A" w14:textId="77777777" w:rsidR="00537CA0" w:rsidRPr="00BA4F7F" w:rsidRDefault="00000000">
      <w:pPr>
        <w:spacing w:after="0"/>
      </w:pPr>
      <w:r w:rsidRPr="00BA4F7F">
        <w:br w:type="page"/>
      </w:r>
    </w:p>
    <w:p w14:paraId="2FD0F25E" w14:textId="77777777" w:rsidR="00537CA0" w:rsidRPr="00BA4F7F" w:rsidRDefault="00000000">
      <w:pPr>
        <w:pStyle w:val="Nagwek2"/>
        <w:spacing w:before="0" w:after="60"/>
      </w:pPr>
      <w:r w:rsidRPr="00BA4F7F">
        <w:rPr>
          <w:rFonts w:ascii="Aptos Display" w:hAnsi="Aptos Display"/>
          <w:sz w:val="30"/>
        </w:rPr>
        <w:lastRenderedPageBreak/>
        <w:t>14A.20. Zmiany regulacyjne</w:t>
      </w:r>
    </w:p>
    <w:tbl>
      <w:tblPr>
        <w:tblW w:w="0" w:type="auto"/>
        <w:jc w:val="center"/>
        <w:tblLayout w:type="fixed"/>
        <w:tblLook w:val="04A0" w:firstRow="1" w:lastRow="0" w:firstColumn="1" w:lastColumn="0" w:noHBand="0" w:noVBand="1"/>
      </w:tblPr>
      <w:tblGrid>
        <w:gridCol w:w="1786"/>
        <w:gridCol w:w="1786"/>
        <w:gridCol w:w="5669"/>
      </w:tblGrid>
      <w:tr w:rsidR="00537CA0" w:rsidRPr="00BA4F7F" w14:paraId="3B07F8C6" w14:textId="77777777">
        <w:trPr>
          <w:cantSplit/>
          <w:jc w:val="center"/>
        </w:trPr>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7DEED39D" w14:textId="77777777" w:rsidR="00537CA0" w:rsidRPr="00BA4F7F" w:rsidRDefault="00000000">
            <w:pPr>
              <w:spacing w:after="0" w:line="240" w:lineRule="auto"/>
              <w:jc w:val="left"/>
            </w:pPr>
            <w:r w:rsidRPr="00BA4F7F">
              <w:rPr>
                <w:rFonts w:ascii="Aptos" w:hAnsi="Aptos"/>
                <w:b/>
                <w:color w:val="FFFFFF"/>
                <w:sz w:val="14"/>
              </w:rPr>
              <w:t>WYNIK 2025</w:t>
            </w:r>
            <w:r w:rsidRPr="00BA4F7F">
              <w:rPr>
                <w:rFonts w:ascii="Aptos" w:hAnsi="Aptos"/>
                <w:b/>
                <w:color w:val="FFFFFF"/>
                <w:sz w:val="14"/>
              </w:rPr>
              <w:br/>
            </w:r>
            <w:r w:rsidRPr="00BA4F7F">
              <w:rPr>
                <w:rFonts w:ascii="Aptos" w:hAnsi="Aptos"/>
                <w:b/>
                <w:color w:val="FFFFFF"/>
                <w:sz w:val="34"/>
              </w:rPr>
              <w:t>38,8</w:t>
            </w:r>
          </w:p>
        </w:tc>
        <w:tc>
          <w:tcPr>
            <w:tcW w:w="1786" w:type="dxa"/>
            <w:tcBorders>
              <w:top w:val="single" w:sz="4" w:space="0" w:color="B7C9D6"/>
              <w:left w:val="single" w:sz="4" w:space="0" w:color="B7C9D6"/>
              <w:bottom w:val="single" w:sz="4" w:space="0" w:color="B7C9D6"/>
              <w:right w:val="single" w:sz="4" w:space="0" w:color="B7C9D6"/>
            </w:tcBorders>
            <w:shd w:val="clear" w:color="auto" w:fill="1F4E79"/>
            <w:tcMar>
              <w:top w:w="60" w:type="dxa"/>
              <w:left w:w="110" w:type="dxa"/>
              <w:bottom w:w="60" w:type="dxa"/>
              <w:right w:w="110" w:type="dxa"/>
            </w:tcMar>
            <w:vAlign w:val="center"/>
          </w:tcPr>
          <w:p w14:paraId="4E393B93" w14:textId="77777777" w:rsidR="00537CA0" w:rsidRPr="00BA4F7F" w:rsidRDefault="00000000">
            <w:pPr>
              <w:spacing w:after="0" w:line="240" w:lineRule="auto"/>
              <w:jc w:val="left"/>
            </w:pPr>
            <w:r w:rsidRPr="00BA4F7F">
              <w:rPr>
                <w:rFonts w:ascii="Aptos" w:hAnsi="Aptos"/>
                <w:b/>
                <w:color w:val="FFFFFF"/>
                <w:sz w:val="14"/>
              </w:rPr>
              <w:t>ZMIANA 2020–2025</w:t>
            </w:r>
            <w:r w:rsidRPr="00BA4F7F">
              <w:rPr>
                <w:rFonts w:ascii="Aptos" w:hAnsi="Aptos"/>
                <w:b/>
                <w:color w:val="FFFFFF"/>
                <w:sz w:val="14"/>
              </w:rPr>
              <w:br/>
            </w:r>
            <w:r w:rsidRPr="00BA4F7F">
              <w:rPr>
                <w:rFonts w:ascii="Aptos" w:hAnsi="Aptos"/>
                <w:b/>
                <w:color w:val="FFFFFF"/>
                <w:sz w:val="34"/>
              </w:rPr>
              <w:t>−13,8</w:t>
            </w:r>
          </w:p>
        </w:tc>
        <w:tc>
          <w:tcPr>
            <w:tcW w:w="5669" w:type="dxa"/>
            <w:tcBorders>
              <w:top w:val="single" w:sz="4" w:space="0" w:color="B7C9D6"/>
              <w:left w:val="single" w:sz="4" w:space="0" w:color="B7C9D6"/>
              <w:bottom w:val="single" w:sz="4" w:space="0" w:color="B7C9D6"/>
              <w:right w:val="single" w:sz="4" w:space="0" w:color="B7C9D6"/>
            </w:tcBorders>
            <w:shd w:val="clear" w:color="auto" w:fill="EDF1F4"/>
            <w:tcMar>
              <w:top w:w="60" w:type="dxa"/>
              <w:left w:w="110" w:type="dxa"/>
              <w:bottom w:w="60" w:type="dxa"/>
              <w:right w:w="110" w:type="dxa"/>
            </w:tcMar>
            <w:vAlign w:val="center"/>
          </w:tcPr>
          <w:p w14:paraId="04AF54E4" w14:textId="77777777" w:rsidR="00537CA0" w:rsidRPr="00BA4F7F" w:rsidRDefault="00000000">
            <w:pPr>
              <w:spacing w:after="0" w:line="240" w:lineRule="auto"/>
              <w:jc w:val="left"/>
            </w:pPr>
            <w:r w:rsidRPr="00BA4F7F">
              <w:rPr>
                <w:rFonts w:ascii="Aptos" w:hAnsi="Aptos"/>
                <w:b/>
                <w:color w:val="4A4A4A"/>
                <w:sz w:val="14"/>
              </w:rPr>
              <w:t>KLASA</w:t>
            </w:r>
            <w:r w:rsidRPr="00BA4F7F">
              <w:rPr>
                <w:rFonts w:ascii="Aptos" w:hAnsi="Aptos"/>
                <w:b/>
                <w:color w:val="4A4A4A"/>
                <w:sz w:val="14"/>
              </w:rPr>
              <w:br/>
            </w:r>
            <w:r w:rsidRPr="00BA4F7F">
              <w:rPr>
                <w:rFonts w:ascii="Aptos" w:hAnsi="Aptos"/>
                <w:b/>
                <w:color w:val="1F4E79"/>
                <w:sz w:val="20"/>
              </w:rPr>
              <w:t>wysokie ryzyko strategiczne</w:t>
            </w:r>
          </w:p>
          <w:p w14:paraId="5558642D" w14:textId="77777777" w:rsidR="003357E9" w:rsidRPr="00BA4F7F" w:rsidRDefault="00000000">
            <w:pPr>
              <w:spacing w:before="60" w:after="0"/>
            </w:pPr>
            <w:r w:rsidRPr="00BA4F7F">
              <w:rPr>
                <w:b/>
                <w:color w:val="666666"/>
                <w:sz w:val="14"/>
              </w:rPr>
              <w:t>STATUS OSTRZEGAWCZY 2025</w:t>
            </w:r>
            <w:r w:rsidRPr="00BA4F7F">
              <w:rPr>
                <w:b/>
                <w:color w:val="666666"/>
                <w:sz w:val="14"/>
              </w:rPr>
              <w:br/>
            </w:r>
            <w:r w:rsidRPr="00BA4F7F">
              <w:rPr>
                <w:b/>
                <w:color w:val="C76B1C"/>
                <w:sz w:val="16"/>
              </w:rPr>
              <w:t>WYSOKIE RYZYKO • POGORSZENIE STRUKTURALNE</w:t>
            </w:r>
          </w:p>
        </w:tc>
      </w:tr>
    </w:tbl>
    <w:p w14:paraId="3BDFA962" w14:textId="77777777" w:rsidR="00537CA0" w:rsidRPr="00BA4F7F" w:rsidRDefault="00000000">
      <w:pPr>
        <w:keepLines/>
        <w:spacing w:before="20" w:after="30"/>
        <w:jc w:val="center"/>
      </w:pPr>
      <w:r w:rsidRPr="00BA4F7F">
        <w:rPr>
          <w:noProof/>
        </w:rPr>
        <w:drawing>
          <wp:inline distT="0" distB="0" distL="0" distR="0" wp14:anchorId="25297A32" wp14:editId="4341A369">
            <wp:extent cx="5688000" cy="1119183"/>
            <wp:effectExtent l="0" t="0" r="0" b="0"/>
            <wp:docPr id="1690576340" name="Picture 1690576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_20.png"/>
                    <pic:cNvPicPr/>
                  </pic:nvPicPr>
                  <pic:blipFill>
                    <a:blip r:embed="rId44"/>
                    <a:stretch>
                      <a:fillRect/>
                    </a:stretch>
                  </pic:blipFill>
                  <pic:spPr>
                    <a:xfrm>
                      <a:off x="0" y="0"/>
                      <a:ext cx="5688000" cy="1119183"/>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3969"/>
        <w:gridCol w:w="2154"/>
        <w:gridCol w:w="1531"/>
        <w:gridCol w:w="1361"/>
      </w:tblGrid>
      <w:tr w:rsidR="00537CA0" w:rsidRPr="00BA4F7F" w14:paraId="1A0E3309" w14:textId="77777777">
        <w:trPr>
          <w:cantSplit/>
          <w:tblHeader/>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0E71EC32" w14:textId="77777777" w:rsidR="00537CA0" w:rsidRPr="00BA4F7F" w:rsidRDefault="00000000">
            <w:pPr>
              <w:spacing w:after="0"/>
              <w:jc w:val="center"/>
            </w:pPr>
            <w:r w:rsidRPr="00BA4F7F">
              <w:rPr>
                <w:rFonts w:ascii="Aptos" w:hAnsi="Aptos"/>
                <w:b/>
                <w:color w:val="FFFFFF"/>
                <w:sz w:val="14"/>
              </w:rPr>
              <w:t>Składnik modelu</w:t>
            </w:r>
          </w:p>
        </w:tc>
        <w:tc>
          <w:tcPr>
            <w:tcW w:w="2154"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437EFA9A" w14:textId="77777777" w:rsidR="00537CA0" w:rsidRPr="00BA4F7F" w:rsidRDefault="00000000">
            <w:pPr>
              <w:spacing w:after="0"/>
              <w:jc w:val="center"/>
            </w:pPr>
            <w:r w:rsidRPr="00BA4F7F">
              <w:rPr>
                <w:rFonts w:ascii="Aptos" w:hAnsi="Aptos"/>
                <w:b/>
                <w:color w:val="FFFFFF"/>
                <w:sz w:val="14"/>
              </w:rPr>
              <w:t>Wartość / ocena 2025</w:t>
            </w:r>
          </w:p>
        </w:tc>
        <w:tc>
          <w:tcPr>
            <w:tcW w:w="153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7960C7E0" w14:textId="77777777" w:rsidR="00537CA0" w:rsidRPr="00BA4F7F" w:rsidRDefault="00000000">
            <w:pPr>
              <w:spacing w:after="0"/>
              <w:jc w:val="center"/>
            </w:pPr>
            <w:r w:rsidRPr="00BA4F7F">
              <w:rPr>
                <w:rFonts w:ascii="Aptos" w:hAnsi="Aptos"/>
                <w:b/>
                <w:color w:val="FFFFFF"/>
                <w:sz w:val="14"/>
              </w:rPr>
              <w:t>Punkty IRS</w:t>
            </w:r>
          </w:p>
        </w:tc>
        <w:tc>
          <w:tcPr>
            <w:tcW w:w="1361" w:type="dxa"/>
            <w:tcBorders>
              <w:top w:val="single" w:sz="4" w:space="0" w:color="B7C9D6"/>
              <w:left w:val="single" w:sz="4" w:space="0" w:color="B7C9D6"/>
              <w:bottom w:val="single" w:sz="4" w:space="0" w:color="B7C9D6"/>
              <w:right w:val="single" w:sz="4" w:space="0" w:color="B7C9D6"/>
            </w:tcBorders>
            <w:shd w:val="clear" w:color="auto" w:fill="1F4E79"/>
            <w:tcMar>
              <w:top w:w="45" w:type="dxa"/>
              <w:left w:w="65" w:type="dxa"/>
              <w:bottom w:w="45" w:type="dxa"/>
              <w:right w:w="65" w:type="dxa"/>
            </w:tcMar>
            <w:vAlign w:val="center"/>
          </w:tcPr>
          <w:p w14:paraId="10E0C5BA" w14:textId="77777777" w:rsidR="00537CA0" w:rsidRPr="00BA4F7F" w:rsidRDefault="00000000">
            <w:pPr>
              <w:spacing w:after="0"/>
              <w:jc w:val="center"/>
            </w:pPr>
            <w:r w:rsidRPr="00BA4F7F">
              <w:rPr>
                <w:rFonts w:ascii="Aptos" w:hAnsi="Aptos"/>
                <w:b/>
                <w:color w:val="FFFFFF"/>
                <w:sz w:val="14"/>
              </w:rPr>
              <w:t>Waga</w:t>
            </w:r>
          </w:p>
        </w:tc>
      </w:tr>
      <w:tr w:rsidR="00537CA0" w:rsidRPr="00BA4F7F" w14:paraId="7AF86966"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2DC8982B" w14:textId="77777777" w:rsidR="00537CA0" w:rsidRPr="00BA4F7F" w:rsidRDefault="00000000">
            <w:pPr>
              <w:spacing w:after="0" w:line="228" w:lineRule="auto"/>
              <w:jc w:val="left"/>
            </w:pPr>
            <w:r w:rsidRPr="00BA4F7F">
              <w:rPr>
                <w:rFonts w:ascii="Aptos" w:hAnsi="Aptos"/>
                <w:b/>
                <w:color w:val="222222"/>
                <w:sz w:val="14"/>
              </w:rPr>
              <w:t>Inwestycje i infrastruktura</w:t>
            </w:r>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0382706F" w14:textId="77777777" w:rsidR="00537CA0" w:rsidRPr="00BA4F7F" w:rsidRDefault="00000000">
            <w:pPr>
              <w:spacing w:after="0" w:line="228" w:lineRule="auto"/>
              <w:jc w:val="center"/>
            </w:pPr>
            <w:r w:rsidRPr="00BA4F7F">
              <w:rPr>
                <w:rFonts w:ascii="Aptos" w:hAnsi="Aptos"/>
                <w:color w:val="222222"/>
                <w:sz w:val="14"/>
              </w:rPr>
              <w:t>40 pkt</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3E1FF863" w14:textId="77777777" w:rsidR="00537CA0" w:rsidRPr="00BA4F7F" w:rsidRDefault="00000000">
            <w:pPr>
              <w:spacing w:after="0" w:line="228" w:lineRule="auto"/>
              <w:jc w:val="center"/>
            </w:pPr>
            <w:r w:rsidRPr="00BA4F7F">
              <w:rPr>
                <w:rFonts w:ascii="Aptos" w:hAnsi="Aptos"/>
                <w:color w:val="222222"/>
                <w:sz w:val="14"/>
              </w:rPr>
              <w:t>40,0</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6B88D24B" w14:textId="77777777" w:rsidR="00537CA0" w:rsidRPr="00BA4F7F" w:rsidRDefault="00000000">
            <w:pPr>
              <w:spacing w:after="0" w:line="228" w:lineRule="auto"/>
              <w:jc w:val="center"/>
            </w:pPr>
            <w:r w:rsidRPr="00BA4F7F">
              <w:rPr>
                <w:rFonts w:ascii="Aptos" w:hAnsi="Aptos"/>
                <w:color w:val="222222"/>
                <w:sz w:val="14"/>
              </w:rPr>
              <w:t>25%</w:t>
            </w:r>
          </w:p>
        </w:tc>
      </w:tr>
      <w:tr w:rsidR="00537CA0" w:rsidRPr="00BA4F7F" w14:paraId="2478BFAC"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26F06C76" w14:textId="77777777" w:rsidR="00537CA0" w:rsidRPr="00BA4F7F" w:rsidRDefault="00000000">
            <w:pPr>
              <w:spacing w:after="0" w:line="228" w:lineRule="auto"/>
              <w:jc w:val="left"/>
            </w:pPr>
            <w:r w:rsidRPr="00BA4F7F">
              <w:rPr>
                <w:rFonts w:ascii="Aptos" w:hAnsi="Aptos"/>
                <w:b/>
                <w:color w:val="222222"/>
                <w:sz w:val="14"/>
              </w:rPr>
              <w:t>Zdrowie i usługi podstawowe</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707DAED3" w14:textId="77777777" w:rsidR="00537CA0" w:rsidRPr="00BA4F7F" w:rsidRDefault="00000000">
            <w:pPr>
              <w:spacing w:after="0" w:line="228" w:lineRule="auto"/>
              <w:jc w:val="center"/>
            </w:pPr>
            <w:r w:rsidRPr="00BA4F7F">
              <w:rPr>
                <w:rFonts w:ascii="Aptos" w:hAnsi="Aptos"/>
                <w:color w:val="222222"/>
                <w:sz w:val="14"/>
              </w:rPr>
              <w:t>40 pkt</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20A8CB31" w14:textId="77777777" w:rsidR="00537CA0" w:rsidRPr="00BA4F7F" w:rsidRDefault="00000000">
            <w:pPr>
              <w:spacing w:after="0" w:line="228" w:lineRule="auto"/>
              <w:jc w:val="center"/>
            </w:pPr>
            <w:r w:rsidRPr="00BA4F7F">
              <w:rPr>
                <w:rFonts w:ascii="Aptos" w:hAnsi="Aptos"/>
                <w:color w:val="222222"/>
                <w:sz w:val="14"/>
              </w:rPr>
              <w:t>40,0</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687D811" w14:textId="77777777" w:rsidR="00537CA0" w:rsidRPr="00BA4F7F" w:rsidRDefault="00000000">
            <w:pPr>
              <w:spacing w:after="0" w:line="228" w:lineRule="auto"/>
              <w:jc w:val="center"/>
            </w:pPr>
            <w:r w:rsidRPr="00BA4F7F">
              <w:rPr>
                <w:rFonts w:ascii="Aptos" w:hAnsi="Aptos"/>
                <w:color w:val="222222"/>
                <w:sz w:val="14"/>
              </w:rPr>
              <w:t>25%</w:t>
            </w:r>
          </w:p>
        </w:tc>
      </w:tr>
      <w:tr w:rsidR="00537CA0" w:rsidRPr="00BA4F7F" w14:paraId="453F758B"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475DE580" w14:textId="77777777" w:rsidR="00537CA0" w:rsidRPr="00BA4F7F" w:rsidRDefault="00000000">
            <w:pPr>
              <w:spacing w:after="0" w:line="228" w:lineRule="auto"/>
              <w:jc w:val="left"/>
            </w:pPr>
            <w:r w:rsidRPr="00BA4F7F">
              <w:rPr>
                <w:rFonts w:ascii="Aptos" w:hAnsi="Aptos"/>
                <w:b/>
                <w:color w:val="222222"/>
                <w:sz w:val="14"/>
              </w:rPr>
              <w:t xml:space="preserve">Polityka przemysłowa i </w:t>
            </w:r>
            <w:proofErr w:type="spellStart"/>
            <w:r w:rsidRPr="00BA4F7F">
              <w:rPr>
                <w:rFonts w:ascii="Aptos" w:hAnsi="Aptos"/>
                <w:b/>
                <w:color w:val="222222"/>
                <w:sz w:val="14"/>
              </w:rPr>
              <w:t>local</w:t>
            </w:r>
            <w:proofErr w:type="spellEnd"/>
            <w:r w:rsidRPr="00BA4F7F">
              <w:rPr>
                <w:rFonts w:ascii="Aptos" w:hAnsi="Aptos"/>
                <w:b/>
                <w:color w:val="222222"/>
                <w:sz w:val="14"/>
              </w:rPr>
              <w:t xml:space="preserve"> </w:t>
            </w:r>
            <w:proofErr w:type="spellStart"/>
            <w:r w:rsidRPr="00BA4F7F">
              <w:rPr>
                <w:rFonts w:ascii="Aptos" w:hAnsi="Aptos"/>
                <w:b/>
                <w:color w:val="222222"/>
                <w:sz w:val="14"/>
              </w:rPr>
              <w:t>content</w:t>
            </w:r>
            <w:proofErr w:type="spellEnd"/>
          </w:p>
        </w:tc>
        <w:tc>
          <w:tcPr>
            <w:tcW w:w="2154"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783A4C4B" w14:textId="77777777" w:rsidR="00537CA0" w:rsidRPr="00BA4F7F" w:rsidRDefault="00000000">
            <w:pPr>
              <w:spacing w:after="0" w:line="228" w:lineRule="auto"/>
              <w:jc w:val="center"/>
            </w:pPr>
            <w:r w:rsidRPr="00BA4F7F">
              <w:rPr>
                <w:rFonts w:ascii="Aptos" w:hAnsi="Aptos"/>
                <w:color w:val="222222"/>
                <w:sz w:val="14"/>
              </w:rPr>
              <w:t>40 pkt</w:t>
            </w:r>
          </w:p>
        </w:tc>
        <w:tc>
          <w:tcPr>
            <w:tcW w:w="153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6F8DCF8E" w14:textId="77777777" w:rsidR="00537CA0" w:rsidRPr="00BA4F7F" w:rsidRDefault="00000000">
            <w:pPr>
              <w:spacing w:after="0" w:line="228" w:lineRule="auto"/>
              <w:jc w:val="center"/>
            </w:pPr>
            <w:r w:rsidRPr="00BA4F7F">
              <w:rPr>
                <w:rFonts w:ascii="Aptos" w:hAnsi="Aptos"/>
                <w:color w:val="222222"/>
                <w:sz w:val="14"/>
              </w:rPr>
              <w:t>40,0</w:t>
            </w:r>
          </w:p>
        </w:tc>
        <w:tc>
          <w:tcPr>
            <w:tcW w:w="1361" w:type="dxa"/>
            <w:tcBorders>
              <w:top w:val="single" w:sz="4" w:space="0" w:color="B7C9D6"/>
              <w:left w:val="single" w:sz="4" w:space="0" w:color="B7C9D6"/>
              <w:bottom w:val="single" w:sz="4" w:space="0" w:color="B7C9D6"/>
              <w:right w:val="single" w:sz="4" w:space="0" w:color="B7C9D6"/>
            </w:tcBorders>
            <w:shd w:val="clear" w:color="auto" w:fill="FFFFFF"/>
            <w:tcMar>
              <w:top w:w="38" w:type="dxa"/>
              <w:left w:w="65" w:type="dxa"/>
              <w:bottom w:w="38" w:type="dxa"/>
              <w:right w:w="65" w:type="dxa"/>
            </w:tcMar>
            <w:vAlign w:val="center"/>
          </w:tcPr>
          <w:p w14:paraId="2E607399" w14:textId="77777777" w:rsidR="00537CA0" w:rsidRPr="00BA4F7F" w:rsidRDefault="00000000">
            <w:pPr>
              <w:spacing w:after="0" w:line="228" w:lineRule="auto"/>
              <w:jc w:val="center"/>
            </w:pPr>
            <w:r w:rsidRPr="00BA4F7F">
              <w:rPr>
                <w:rFonts w:ascii="Aptos" w:hAnsi="Aptos"/>
                <w:color w:val="222222"/>
                <w:sz w:val="14"/>
              </w:rPr>
              <w:t>25%</w:t>
            </w:r>
          </w:p>
        </w:tc>
      </w:tr>
      <w:tr w:rsidR="00537CA0" w:rsidRPr="00BA4F7F" w14:paraId="7A935A0C" w14:textId="77777777">
        <w:trPr>
          <w:cantSplit/>
          <w:jc w:val="center"/>
        </w:trPr>
        <w:tc>
          <w:tcPr>
            <w:tcW w:w="3969"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2E8D41D8" w14:textId="77777777" w:rsidR="00537CA0" w:rsidRPr="00BA4F7F" w:rsidRDefault="00000000">
            <w:pPr>
              <w:spacing w:after="0" w:line="228" w:lineRule="auto"/>
              <w:jc w:val="left"/>
            </w:pPr>
            <w:r w:rsidRPr="00BA4F7F">
              <w:rPr>
                <w:rFonts w:ascii="Aptos" w:hAnsi="Aptos"/>
                <w:b/>
                <w:color w:val="222222"/>
                <w:sz w:val="14"/>
              </w:rPr>
              <w:t>Nauka, technologie i kompetencje</w:t>
            </w:r>
          </w:p>
        </w:tc>
        <w:tc>
          <w:tcPr>
            <w:tcW w:w="2154"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7C23C7F8" w14:textId="77777777" w:rsidR="00537CA0" w:rsidRPr="00BA4F7F" w:rsidRDefault="00000000">
            <w:pPr>
              <w:spacing w:after="0" w:line="228" w:lineRule="auto"/>
              <w:jc w:val="center"/>
            </w:pPr>
            <w:r w:rsidRPr="00BA4F7F">
              <w:rPr>
                <w:rFonts w:ascii="Aptos" w:hAnsi="Aptos"/>
                <w:color w:val="222222"/>
                <w:sz w:val="14"/>
              </w:rPr>
              <w:t>35 pkt</w:t>
            </w:r>
          </w:p>
        </w:tc>
        <w:tc>
          <w:tcPr>
            <w:tcW w:w="153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03BB6065" w14:textId="77777777" w:rsidR="00537CA0" w:rsidRPr="00BA4F7F" w:rsidRDefault="00000000">
            <w:pPr>
              <w:spacing w:after="0" w:line="228" w:lineRule="auto"/>
              <w:jc w:val="center"/>
            </w:pPr>
            <w:r w:rsidRPr="00BA4F7F">
              <w:rPr>
                <w:rFonts w:ascii="Aptos" w:hAnsi="Aptos"/>
                <w:color w:val="222222"/>
                <w:sz w:val="14"/>
              </w:rPr>
              <w:t>35,0</w:t>
            </w:r>
          </w:p>
        </w:tc>
        <w:tc>
          <w:tcPr>
            <w:tcW w:w="1361" w:type="dxa"/>
            <w:tcBorders>
              <w:top w:val="single" w:sz="4" w:space="0" w:color="B7C9D6"/>
              <w:left w:val="single" w:sz="4" w:space="0" w:color="B7C9D6"/>
              <w:bottom w:val="single" w:sz="4" w:space="0" w:color="B7C9D6"/>
              <w:right w:val="single" w:sz="4" w:space="0" w:color="B7C9D6"/>
            </w:tcBorders>
            <w:shd w:val="clear" w:color="auto" w:fill="EEF5FA"/>
            <w:tcMar>
              <w:top w:w="38" w:type="dxa"/>
              <w:left w:w="65" w:type="dxa"/>
              <w:bottom w:w="38" w:type="dxa"/>
              <w:right w:w="65" w:type="dxa"/>
            </w:tcMar>
            <w:vAlign w:val="center"/>
          </w:tcPr>
          <w:p w14:paraId="466DBA5D" w14:textId="77777777" w:rsidR="00537CA0" w:rsidRPr="00BA4F7F" w:rsidRDefault="00000000">
            <w:pPr>
              <w:spacing w:after="0" w:line="228" w:lineRule="auto"/>
              <w:jc w:val="center"/>
            </w:pPr>
            <w:r w:rsidRPr="00BA4F7F">
              <w:rPr>
                <w:rFonts w:ascii="Aptos" w:hAnsi="Aptos"/>
                <w:color w:val="222222"/>
                <w:sz w:val="14"/>
              </w:rPr>
              <w:t>25%</w:t>
            </w:r>
          </w:p>
        </w:tc>
      </w:tr>
    </w:tbl>
    <w:p w14:paraId="01F27D84" w14:textId="77777777" w:rsidR="00537CA0" w:rsidRPr="00BA4F7F" w:rsidRDefault="00537CA0">
      <w:pPr>
        <w:spacing w:after="20"/>
      </w:pPr>
    </w:p>
    <w:p w14:paraId="4EC5EDDF" w14:textId="77777777" w:rsidR="00537CA0" w:rsidRPr="00BA4F7F" w:rsidRDefault="00000000">
      <w:pPr>
        <w:keepLines/>
        <w:spacing w:after="30" w:line="240" w:lineRule="auto"/>
      </w:pPr>
      <w:r w:rsidRPr="00BA4F7F">
        <w:rPr>
          <w:b/>
          <w:color w:val="1F4E79"/>
          <w:sz w:val="16"/>
        </w:rPr>
        <w:t xml:space="preserve">Funkcja w IRS i sposób liczenia. </w:t>
      </w:r>
      <w:proofErr w:type="spellStart"/>
      <w:r w:rsidRPr="00BA4F7F">
        <w:rPr>
          <w:color w:val="222222"/>
          <w:sz w:val="16"/>
        </w:rPr>
        <w:t>Subobszar</w:t>
      </w:r>
      <w:proofErr w:type="spellEnd"/>
      <w:r w:rsidRPr="00BA4F7F">
        <w:rPr>
          <w:color w:val="222222"/>
          <w:sz w:val="16"/>
        </w:rPr>
        <w:t xml:space="preserve"> ocenia zdolność regulacji do usunięcia realnej bariery i wytworzenia trwałego efektu. Cztery obszary regulacyjne mają równe wagi, a każdy jest średnią K1 zakres regulacji, K2 procesu wdrożenia, K3 wpływu na zdolności państwa i gospodarki oraz K4 proporcjonalności i kontroli </w:t>
      </w:r>
      <w:proofErr w:type="spellStart"/>
      <w:r w:rsidRPr="00BA4F7F">
        <w:rPr>
          <w:color w:val="222222"/>
          <w:sz w:val="16"/>
        </w:rPr>
        <w:t>ryzyk</w:t>
      </w:r>
      <w:proofErr w:type="spellEnd"/>
      <w:r w:rsidRPr="00BA4F7F">
        <w:rPr>
          <w:color w:val="222222"/>
          <w:sz w:val="16"/>
        </w:rPr>
        <w:t>. Sama liczba uchwalonych ustaw nie zwiększa wyniku.</w:t>
      </w:r>
    </w:p>
    <w:p w14:paraId="1A435158" w14:textId="77777777" w:rsidR="00537CA0" w:rsidRPr="00BA4F7F" w:rsidRDefault="00000000">
      <w:pPr>
        <w:keepLines/>
        <w:spacing w:after="30" w:line="240" w:lineRule="auto"/>
      </w:pPr>
      <w:r w:rsidRPr="00BA4F7F">
        <w:rPr>
          <w:b/>
          <w:color w:val="1F4E79"/>
          <w:sz w:val="16"/>
        </w:rPr>
        <w:t xml:space="preserve">Diagnoza i kontekst 2020–2025. </w:t>
      </w:r>
      <w:r w:rsidRPr="00BA4F7F">
        <w:rPr>
          <w:color w:val="222222"/>
          <w:sz w:val="16"/>
        </w:rPr>
        <w:t xml:space="preserve">Wynik obniża się z 52,5 pkt w 2020 r. do 47,5 pkt w 2021 r., wzrasta do 60,0 pkt w 2022 r. i 57,5 pkt w 2023 r., po czym spada do 42,5 pkt w 2024 r. i 38,8 pkt w 2025 r. Wysoka ocena 2022 r. odzwierciedla szybkie regulacje kryzysowe, lecz późniejsza trajektoria ujawnia problemy z ich trwałym wdrożeniem oraz z prowadzeniem reform infrastruktury, zdrowia, polityki przemysłowej i naukowo-technologicznej. Najsłabsze pozostają proces wdrożenia, proporcjonalność i kontrola </w:t>
      </w:r>
      <w:proofErr w:type="spellStart"/>
      <w:r w:rsidRPr="00BA4F7F">
        <w:rPr>
          <w:color w:val="222222"/>
          <w:sz w:val="16"/>
        </w:rPr>
        <w:t>ryzyk</w:t>
      </w:r>
      <w:proofErr w:type="spellEnd"/>
      <w:r w:rsidRPr="00BA4F7F">
        <w:rPr>
          <w:color w:val="222222"/>
          <w:sz w:val="16"/>
        </w:rPr>
        <w:t>. Państwo rozpoznaje bariery i przygotowuje akty, ale częściej nie domyka finansowania, aktów wykonawczych, danych, odpowiedzialności i mechanizmu korekty.</w:t>
      </w:r>
    </w:p>
    <w:p w14:paraId="23945278" w14:textId="77777777" w:rsidR="00537CA0" w:rsidRPr="00BA4F7F" w:rsidRDefault="00000000">
      <w:pPr>
        <w:keepLines/>
        <w:spacing w:after="30" w:line="240" w:lineRule="auto"/>
      </w:pPr>
      <w:r w:rsidRPr="00BA4F7F">
        <w:rPr>
          <w:b/>
          <w:color w:val="1F4E79"/>
          <w:sz w:val="16"/>
        </w:rPr>
        <w:t xml:space="preserve">Znaczenie dla racji stanu. </w:t>
      </w:r>
      <w:r w:rsidRPr="00BA4F7F">
        <w:rPr>
          <w:color w:val="222222"/>
          <w:sz w:val="16"/>
        </w:rPr>
        <w:t>Regulacja jest interfejsem między decyzją polityczną a zdolnością operacyjną. Jeżeli nakłada obowiązki bez zasobów i harmonogramu, może zwiększać aktywność legislacyjną, a obniżać sprawność administracji i gospodarki. Dotyczy to szczególnie sektorów, w których wdrażane są równolegle liczne normy europejskie i krajowe.</w:t>
      </w:r>
    </w:p>
    <w:p w14:paraId="0C2C9399" w14:textId="77777777" w:rsidR="00537CA0" w:rsidRPr="00BA4F7F" w:rsidRDefault="00000000">
      <w:pPr>
        <w:keepLines/>
        <w:spacing w:after="80" w:line="250" w:lineRule="auto"/>
      </w:pPr>
      <w:r w:rsidRPr="00BA4F7F">
        <w:rPr>
          <w:color w:val="222222"/>
          <w:sz w:val="18"/>
        </w:rPr>
        <w:t>Wniosek. Najbardziej kosztowna może być regulacja częściowo wdrożona: podmioty ponoszą koszty przygotowania, administracja tworzy procedury, lecz nie powstaje oczekiwana zdolność. Państwo otrzymuje wtedy pozór działania i realny ciężar zgodności bez pełnego efektu. Produktem legislacji nie jest ustawa, lecz trwała zmiana zachowania systemu.</w:t>
      </w:r>
    </w:p>
    <w:tbl>
      <w:tblPr>
        <w:tblW w:w="0" w:type="auto"/>
        <w:jc w:val="center"/>
        <w:tblLayout w:type="fixed"/>
        <w:tblLook w:val="04A0" w:firstRow="1" w:lastRow="0" w:firstColumn="1" w:lastColumn="0" w:noHBand="0" w:noVBand="1"/>
      </w:tblPr>
      <w:tblGrid>
        <w:gridCol w:w="1474"/>
        <w:gridCol w:w="7540"/>
      </w:tblGrid>
      <w:tr w:rsidR="00537CA0" w:rsidRPr="00BA4F7F" w14:paraId="02FE90BC" w14:textId="77777777">
        <w:trPr>
          <w:cantSplit/>
          <w:tblHeader/>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B23A48"/>
            <w:tcMar>
              <w:top w:w="45" w:type="dxa"/>
              <w:left w:w="70" w:type="dxa"/>
              <w:bottom w:w="45" w:type="dxa"/>
              <w:right w:w="70" w:type="dxa"/>
            </w:tcMar>
            <w:vAlign w:val="center"/>
          </w:tcPr>
          <w:p w14:paraId="25270B6E" w14:textId="77777777" w:rsidR="003357E9" w:rsidRPr="00BA4F7F" w:rsidRDefault="00000000">
            <w:r w:rsidRPr="00BA4F7F">
              <w:rPr>
                <w:b/>
              </w:rPr>
              <w:t>STATUS OSTRZEGAWCZY 2025</w:t>
            </w:r>
          </w:p>
        </w:tc>
        <w:tc>
          <w:tcPr>
            <w:tcW w:w="7540" w:type="dxa"/>
            <w:tcBorders>
              <w:top w:val="single" w:sz="5" w:space="0" w:color="1F4E79"/>
              <w:left w:val="single" w:sz="5" w:space="0" w:color="1F4E79"/>
              <w:bottom w:val="single" w:sz="5" w:space="0" w:color="1F4E79"/>
              <w:right w:val="single" w:sz="5" w:space="0" w:color="1F4E79"/>
            </w:tcBorders>
            <w:shd w:val="clear" w:color="auto" w:fill="FCE8EA"/>
            <w:tcMar>
              <w:top w:w="45" w:type="dxa"/>
              <w:left w:w="70" w:type="dxa"/>
              <w:bottom w:w="45" w:type="dxa"/>
              <w:right w:w="70" w:type="dxa"/>
            </w:tcMar>
            <w:vAlign w:val="center"/>
          </w:tcPr>
          <w:p w14:paraId="65EE534D" w14:textId="77777777" w:rsidR="003357E9" w:rsidRPr="00BA4F7F" w:rsidRDefault="00000000">
            <w:r w:rsidRPr="00BA4F7F">
              <w:t>Alert wysokiego ryzyka: wynik 38,8 pkt jest niższy niż 40 pkt. Jednocześnie spadek od 2022 do 2025 r. wynosi 21,3 pkt przy trzech rocznych spadkach, co uruchamia alert pogorszenia strukturalnego.</w:t>
            </w:r>
          </w:p>
        </w:tc>
      </w:tr>
      <w:tr w:rsidR="00537CA0" w:rsidRPr="00BA4F7F" w14:paraId="6F9548C2"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7B033504" w14:textId="77777777" w:rsidR="00537CA0" w:rsidRPr="00BA4F7F" w:rsidRDefault="00000000">
            <w:pPr>
              <w:spacing w:after="0" w:line="240" w:lineRule="auto"/>
              <w:jc w:val="left"/>
            </w:pPr>
            <w:r w:rsidRPr="00BA4F7F">
              <w:rPr>
                <w:b/>
                <w:color w:val="FFFFFF"/>
                <w:sz w:val="15"/>
              </w:rPr>
              <w:t>PRIORYTET DZIAŁANIA</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4515C78D" w14:textId="77777777" w:rsidR="00537CA0" w:rsidRPr="00BA4F7F" w:rsidRDefault="00000000">
            <w:pPr>
              <w:spacing w:after="0" w:line="240" w:lineRule="auto"/>
              <w:jc w:val="left"/>
            </w:pPr>
            <w:r w:rsidRPr="00BA4F7F">
              <w:rPr>
                <w:color w:val="222222"/>
                <w:sz w:val="15"/>
              </w:rPr>
              <w:t>Pełny cykl regulacyjny: diagnoza bariery, konsultacje, finansowanie, akty wykonawcze, odpowiedzialny właściciel, wdrożenie, pomiar skutku i korekta.</w:t>
            </w:r>
          </w:p>
        </w:tc>
      </w:tr>
      <w:tr w:rsidR="00537CA0" w:rsidRPr="00BA4F7F" w14:paraId="18C520F5" w14:textId="77777777">
        <w:trPr>
          <w:cantSplit/>
          <w:jc w:val="center"/>
        </w:trPr>
        <w:tc>
          <w:tcPr>
            <w:tcW w:w="1474" w:type="dxa"/>
            <w:tcBorders>
              <w:top w:val="single" w:sz="5" w:space="0" w:color="1F4E79"/>
              <w:left w:val="single" w:sz="5" w:space="0" w:color="1F4E79"/>
              <w:bottom w:val="single" w:sz="5" w:space="0" w:color="1F4E79"/>
              <w:right w:val="single" w:sz="5" w:space="0" w:color="1F4E79"/>
            </w:tcBorders>
            <w:shd w:val="clear" w:color="auto" w:fill="1F4E79"/>
            <w:tcMar>
              <w:top w:w="45" w:type="dxa"/>
              <w:left w:w="70" w:type="dxa"/>
              <w:bottom w:w="45" w:type="dxa"/>
              <w:right w:w="70" w:type="dxa"/>
            </w:tcMar>
            <w:vAlign w:val="center"/>
          </w:tcPr>
          <w:p w14:paraId="4D1520D4" w14:textId="77777777" w:rsidR="00537CA0" w:rsidRPr="00BA4F7F" w:rsidRDefault="00000000">
            <w:pPr>
              <w:spacing w:after="0" w:line="240" w:lineRule="auto"/>
              <w:jc w:val="left"/>
            </w:pPr>
            <w:r w:rsidRPr="00BA4F7F">
              <w:rPr>
                <w:b/>
                <w:color w:val="FFFFFF"/>
                <w:sz w:val="15"/>
              </w:rPr>
              <w:t>WARUNEK WIARYGODNEJ POPRAWY</w:t>
            </w:r>
          </w:p>
        </w:tc>
        <w:tc>
          <w:tcPr>
            <w:tcW w:w="7540" w:type="dxa"/>
            <w:tcBorders>
              <w:top w:val="single" w:sz="5" w:space="0" w:color="1F4E79"/>
              <w:left w:val="single" w:sz="5" w:space="0" w:color="1F4E79"/>
              <w:bottom w:val="single" w:sz="5" w:space="0" w:color="1F4E79"/>
              <w:right w:val="single" w:sz="5" w:space="0" w:color="1F4E79"/>
            </w:tcBorders>
            <w:shd w:val="clear" w:color="auto" w:fill="D9EAF7"/>
            <w:tcMar>
              <w:top w:w="45" w:type="dxa"/>
              <w:left w:w="70" w:type="dxa"/>
              <w:bottom w:w="45" w:type="dxa"/>
              <w:right w:w="70" w:type="dxa"/>
            </w:tcMar>
            <w:vAlign w:val="center"/>
          </w:tcPr>
          <w:p w14:paraId="3E9943A7" w14:textId="77777777" w:rsidR="00537CA0" w:rsidRPr="00BA4F7F" w:rsidRDefault="00000000">
            <w:pPr>
              <w:spacing w:after="0" w:line="240" w:lineRule="auto"/>
              <w:jc w:val="left"/>
            </w:pPr>
            <w:r w:rsidRPr="00BA4F7F">
              <w:rPr>
                <w:color w:val="222222"/>
                <w:sz w:val="15"/>
              </w:rPr>
              <w:t>Większy udział regulacji wdrożonych terminowo, z budżetem i właścicielem, oraz ewaluacje potwierdzające usunięcie bariery bez nieproporcjonalnych kosztów i kolejnych korekt awaryjnych.</w:t>
            </w:r>
          </w:p>
        </w:tc>
      </w:tr>
    </w:tbl>
    <w:p w14:paraId="5D8E0ED3" w14:textId="77777777" w:rsidR="00537CA0" w:rsidRPr="00BA4F7F" w:rsidRDefault="00000000">
      <w:pPr>
        <w:spacing w:after="0"/>
      </w:pPr>
      <w:r w:rsidRPr="00BA4F7F">
        <w:br w:type="page"/>
      </w:r>
    </w:p>
    <w:p w14:paraId="2DDB9ADB" w14:textId="77777777" w:rsidR="00537CA0" w:rsidRPr="00BA4F7F" w:rsidRDefault="00537CA0">
      <w:pPr>
        <w:pageBreakBefore/>
      </w:pPr>
    </w:p>
    <w:p w14:paraId="5CD0941B" w14:textId="77777777" w:rsidR="00537CA0" w:rsidRPr="00BA4F7F" w:rsidRDefault="00000000">
      <w:pPr>
        <w:pStyle w:val="ChapterKicker"/>
        <w:keepNext/>
        <w:keepLines/>
        <w:rPr>
          <w:lang w:val="pl-PL"/>
        </w:rPr>
      </w:pPr>
      <w:r w:rsidRPr="00BA4F7F">
        <w:rPr>
          <w:lang w:val="pl-PL"/>
        </w:rPr>
        <w:t>ALERTY STRATEGICZNE</w:t>
      </w:r>
    </w:p>
    <w:p w14:paraId="48CEB3C3" w14:textId="77777777" w:rsidR="00537CA0" w:rsidRPr="00BA4F7F" w:rsidRDefault="00000000">
      <w:pPr>
        <w:pStyle w:val="Nagwek1"/>
      </w:pPr>
      <w:bookmarkStart w:id="30" w:name="_Toc236400285"/>
      <w:bookmarkStart w:id="31" w:name="_Toc236400512"/>
      <w:r w:rsidRPr="00BA4F7F">
        <w:t xml:space="preserve">14B. Alerty strategiczne IRS – mapa </w:t>
      </w:r>
      <w:proofErr w:type="spellStart"/>
      <w:r w:rsidRPr="00BA4F7F">
        <w:t>ryzyk</w:t>
      </w:r>
      <w:proofErr w:type="spellEnd"/>
      <w:r w:rsidRPr="00BA4F7F">
        <w:t>, których nie może przesłaniać średnia</w:t>
      </w:r>
      <w:bookmarkEnd w:id="30"/>
      <w:bookmarkEnd w:id="31"/>
    </w:p>
    <w:p w14:paraId="3CD32585" w14:textId="77777777" w:rsidR="003357E9" w:rsidRPr="00BA4F7F" w:rsidRDefault="00000000">
      <w:pPr>
        <w:pStyle w:val="Lead"/>
        <w:rPr>
          <w:lang w:val="pl-PL"/>
        </w:rPr>
      </w:pPr>
      <w:r w:rsidRPr="00BA4F7F">
        <w:rPr>
          <w:lang w:val="pl-PL"/>
        </w:rPr>
        <w:t>Warstwa alertowa pokazuje nie tylko komponenty o skrajnie niskim wyniku, lecz również obszary, których trajektoria pogarsza się szybciej, niż ujawnia to stabilny wynik syntetyczny.</w:t>
      </w:r>
    </w:p>
    <w:p w14:paraId="0B532574" w14:textId="77777777" w:rsidR="003357E9" w:rsidRPr="00BA4F7F" w:rsidRDefault="00000000">
      <w:r w:rsidRPr="00BA4F7F">
        <w:t xml:space="preserve">IRS jest indeksem o celowo ograniczonej elastyczności. Waga pojedynczego </w:t>
      </w:r>
      <w:proofErr w:type="spellStart"/>
      <w:r w:rsidRPr="00BA4F7F">
        <w:t>subobszaru</w:t>
      </w:r>
      <w:proofErr w:type="spellEnd"/>
      <w:r w:rsidRPr="00BA4F7F">
        <w:t xml:space="preserve"> w wyniku głównym wynosi od 3,0% do 7,5%, dlatego nawet znaczne pogorszenie może zmienić IRS tylko o część punktu. Stabilność chroni model przed nadmierną reakcją na jednoroczną obserwację, ale wymaga równoległego systemu wczesnego ostrzegania. Alert nie jest prognozą katastrofy ani dodatkową karą punktową. Oznacza, że jawny warunek poziomu lub dynamiki został spełniony i problem wymaga odrębnej odpowiedzialności, diagnozy i monitorowania.</w:t>
      </w:r>
    </w:p>
    <w:p w14:paraId="0FD08738" w14:textId="77777777" w:rsidR="003357E9" w:rsidRPr="00BA4F7F" w:rsidRDefault="00000000">
      <w:r>
        <w:t>W 2025 r. model identyfikuje 2 dominujące alerty krytyczne, 4 dominujące statusy wysokiego ryzyka, 2 spełnione warunki utrwalonego wysokiego ryzyka, 12 warunków pogorszenia strukturalnego, 0 alertów szybkiego pogorszenia i 5 sygnałów trwałej słabości. Nie oznacza to poprawy: ruchome okno trzyletnie zachowuje informację o osłabieniu z lat 2023–2024. Kategorie się nakładają, a w panelu głównym prezentowana jest najwyższa ranga ostrzeżenia.</w:t>
      </w:r>
    </w:p>
    <w:p w14:paraId="4DE02C09" w14:textId="77777777" w:rsidR="003357E9" w:rsidRPr="00BA4F7F" w:rsidRDefault="00000000">
      <w:pPr>
        <w:keepNext/>
        <w:keepLines/>
        <w:jc w:val="center"/>
      </w:pPr>
      <w:r w:rsidRPr="00BA4F7F">
        <w:rPr>
          <w:noProof/>
        </w:rPr>
        <w:drawing>
          <wp:inline distT="0" distB="0" distL="0" distR="0" wp14:anchorId="5557497A" wp14:editId="10AAB7F2">
            <wp:extent cx="5806440" cy="4055134"/>
            <wp:effectExtent l="0" t="0" r="0" b="0"/>
            <wp:docPr id="1690576342" name="Picture 1690576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irs_14_alert_map.png"/>
                    <pic:cNvPicPr/>
                  </pic:nvPicPr>
                  <pic:blipFill>
                    <a:blip r:embed="rId45"/>
                    <a:stretch>
                      <a:fillRect/>
                    </a:stretch>
                  </pic:blipFill>
                  <pic:spPr>
                    <a:xfrm>
                      <a:off x="0" y="0"/>
                      <a:ext cx="5806440" cy="4055134"/>
                    </a:xfrm>
                    <a:prstGeom prst="rect">
                      <a:avLst/>
                    </a:prstGeom>
                  </pic:spPr>
                </pic:pic>
              </a:graphicData>
            </a:graphic>
          </wp:inline>
        </w:drawing>
      </w:r>
    </w:p>
    <w:p w14:paraId="2C06340E" w14:textId="77777777" w:rsidR="003357E9" w:rsidRPr="00BA4F7F" w:rsidRDefault="00000000">
      <w:pPr>
        <w:pStyle w:val="Legenda"/>
        <w:keepNext/>
        <w:keepLines/>
        <w:jc w:val="center"/>
      </w:pPr>
      <w:r w:rsidRPr="00BA4F7F">
        <w:t>Wykres 17. Komponenty objęte formalnym alertem lub sygnałem trwałej słabości w 2025 r.</w:t>
      </w:r>
    </w:p>
    <w:p w14:paraId="0507CE50" w14:textId="77777777" w:rsidR="003357E9" w:rsidRPr="00BA4F7F" w:rsidRDefault="003357E9">
      <w:pPr>
        <w:pStyle w:val="SourceNote"/>
        <w:keepLines/>
        <w:rPr>
          <w:lang w:val="pl-PL"/>
        </w:rPr>
      </w:pPr>
    </w:p>
    <w:tbl>
      <w:tblPr>
        <w:tblStyle w:val="Tabela-Siatka"/>
        <w:tblW w:w="0" w:type="auto"/>
        <w:jc w:val="center"/>
        <w:tblLook w:val="04A0" w:firstRow="1" w:lastRow="0" w:firstColumn="1" w:lastColumn="0" w:noHBand="0" w:noVBand="1"/>
      </w:tblPr>
      <w:tblGrid>
        <w:gridCol w:w="1800"/>
        <w:gridCol w:w="792"/>
        <w:gridCol w:w="2160"/>
        <w:gridCol w:w="1944"/>
        <w:gridCol w:w="2808"/>
      </w:tblGrid>
      <w:tr w:rsidR="003357E9" w:rsidRPr="00BA4F7F" w14:paraId="430643B4" w14:textId="77777777">
        <w:trPr>
          <w:cantSplit/>
          <w:tblHeader/>
          <w:jc w:val="center"/>
        </w:trPr>
        <w:tc>
          <w:tcPr>
            <w:tcW w:w="1800" w:type="dxa"/>
            <w:shd w:val="clear" w:color="auto" w:fill="A61E2E"/>
            <w:tcMar>
              <w:top w:w="70" w:type="dxa"/>
              <w:left w:w="85" w:type="dxa"/>
              <w:bottom w:w="70" w:type="dxa"/>
              <w:right w:w="85" w:type="dxa"/>
            </w:tcMar>
            <w:vAlign w:val="center"/>
          </w:tcPr>
          <w:p w14:paraId="178282A5" w14:textId="77777777" w:rsidR="003357E9" w:rsidRPr="00BA4F7F" w:rsidRDefault="00000000">
            <w:pPr>
              <w:spacing w:after="0"/>
              <w:jc w:val="center"/>
            </w:pPr>
            <w:r w:rsidRPr="00BA4F7F">
              <w:rPr>
                <w:b/>
                <w:color w:val="FFFFFF"/>
                <w:sz w:val="14"/>
              </w:rPr>
              <w:t>Komponent</w:t>
            </w:r>
          </w:p>
        </w:tc>
        <w:tc>
          <w:tcPr>
            <w:tcW w:w="792" w:type="dxa"/>
            <w:shd w:val="clear" w:color="auto" w:fill="A61E2E"/>
            <w:tcMar>
              <w:top w:w="70" w:type="dxa"/>
              <w:left w:w="85" w:type="dxa"/>
              <w:bottom w:w="70" w:type="dxa"/>
              <w:right w:w="85" w:type="dxa"/>
            </w:tcMar>
            <w:vAlign w:val="center"/>
          </w:tcPr>
          <w:p w14:paraId="04DAB489" w14:textId="77777777" w:rsidR="003357E9" w:rsidRPr="00BA4F7F" w:rsidRDefault="00000000">
            <w:pPr>
              <w:spacing w:after="0"/>
              <w:jc w:val="center"/>
            </w:pPr>
            <w:r w:rsidRPr="00BA4F7F">
              <w:rPr>
                <w:b/>
                <w:color w:val="FFFFFF"/>
                <w:sz w:val="14"/>
              </w:rPr>
              <w:t>Wynik</w:t>
            </w:r>
          </w:p>
        </w:tc>
        <w:tc>
          <w:tcPr>
            <w:tcW w:w="2160" w:type="dxa"/>
            <w:shd w:val="clear" w:color="auto" w:fill="A61E2E"/>
            <w:tcMar>
              <w:top w:w="70" w:type="dxa"/>
              <w:left w:w="85" w:type="dxa"/>
              <w:bottom w:w="70" w:type="dxa"/>
              <w:right w:w="85" w:type="dxa"/>
            </w:tcMar>
            <w:vAlign w:val="center"/>
          </w:tcPr>
          <w:p w14:paraId="554C8EE9" w14:textId="77777777" w:rsidR="003357E9" w:rsidRPr="00BA4F7F" w:rsidRDefault="00000000">
            <w:pPr>
              <w:spacing w:after="0"/>
              <w:jc w:val="center"/>
            </w:pPr>
            <w:r w:rsidRPr="00BA4F7F">
              <w:rPr>
                <w:b/>
                <w:color w:val="FFFFFF"/>
                <w:sz w:val="14"/>
              </w:rPr>
              <w:t>Alert / sygnał</w:t>
            </w:r>
          </w:p>
        </w:tc>
        <w:tc>
          <w:tcPr>
            <w:tcW w:w="1944" w:type="dxa"/>
            <w:shd w:val="clear" w:color="auto" w:fill="A61E2E"/>
            <w:tcMar>
              <w:top w:w="70" w:type="dxa"/>
              <w:left w:w="85" w:type="dxa"/>
              <w:bottom w:w="70" w:type="dxa"/>
              <w:right w:w="85" w:type="dxa"/>
            </w:tcMar>
            <w:vAlign w:val="center"/>
          </w:tcPr>
          <w:p w14:paraId="751361C0" w14:textId="77777777" w:rsidR="003357E9" w:rsidRPr="00BA4F7F" w:rsidRDefault="00000000">
            <w:pPr>
              <w:spacing w:after="0"/>
              <w:jc w:val="center"/>
            </w:pPr>
            <w:r w:rsidRPr="00BA4F7F">
              <w:rPr>
                <w:b/>
                <w:color w:val="FFFFFF"/>
                <w:sz w:val="14"/>
              </w:rPr>
              <w:t>Przesłanka</w:t>
            </w:r>
          </w:p>
        </w:tc>
        <w:tc>
          <w:tcPr>
            <w:tcW w:w="2808" w:type="dxa"/>
            <w:shd w:val="clear" w:color="auto" w:fill="A61E2E"/>
            <w:tcMar>
              <w:top w:w="70" w:type="dxa"/>
              <w:left w:w="85" w:type="dxa"/>
              <w:bottom w:w="70" w:type="dxa"/>
              <w:right w:w="85" w:type="dxa"/>
            </w:tcMar>
            <w:vAlign w:val="center"/>
          </w:tcPr>
          <w:p w14:paraId="0399EC2E" w14:textId="77777777" w:rsidR="003357E9" w:rsidRPr="00BA4F7F" w:rsidRDefault="00000000">
            <w:pPr>
              <w:spacing w:after="0"/>
              <w:jc w:val="center"/>
            </w:pPr>
            <w:r w:rsidRPr="00BA4F7F">
              <w:rPr>
                <w:b/>
                <w:color w:val="FFFFFF"/>
                <w:sz w:val="14"/>
              </w:rPr>
              <w:t>Znaczenie</w:t>
            </w:r>
          </w:p>
        </w:tc>
      </w:tr>
      <w:tr w:rsidR="003357E9" w:rsidRPr="00BA4F7F" w14:paraId="12F31EF5" w14:textId="77777777">
        <w:trPr>
          <w:cantSplit/>
          <w:jc w:val="center"/>
        </w:trPr>
        <w:tc>
          <w:tcPr>
            <w:tcW w:w="1800" w:type="dxa"/>
            <w:tcMar>
              <w:top w:w="70" w:type="dxa"/>
              <w:left w:w="85" w:type="dxa"/>
              <w:bottom w:w="70" w:type="dxa"/>
              <w:right w:w="85" w:type="dxa"/>
            </w:tcMar>
            <w:vAlign w:val="center"/>
          </w:tcPr>
          <w:p w14:paraId="6260238F" w14:textId="77777777" w:rsidR="003357E9" w:rsidRPr="00BA4F7F" w:rsidRDefault="00000000">
            <w:pPr>
              <w:spacing w:after="0"/>
            </w:pPr>
            <w:r w:rsidRPr="00BA4F7F">
              <w:rPr>
                <w:color w:val="1E1E1E"/>
                <w:sz w:val="14"/>
              </w:rPr>
              <w:t>IRS – wynik łączny</w:t>
            </w:r>
          </w:p>
        </w:tc>
        <w:tc>
          <w:tcPr>
            <w:tcW w:w="792" w:type="dxa"/>
            <w:tcMar>
              <w:top w:w="70" w:type="dxa"/>
              <w:left w:w="85" w:type="dxa"/>
              <w:bottom w:w="70" w:type="dxa"/>
              <w:right w:w="85" w:type="dxa"/>
            </w:tcMar>
            <w:vAlign w:val="center"/>
          </w:tcPr>
          <w:p w14:paraId="1D41169E" w14:textId="77777777" w:rsidR="003357E9" w:rsidRPr="00BA4F7F" w:rsidRDefault="00000000">
            <w:pPr>
              <w:spacing w:after="0"/>
            </w:pPr>
            <w:r>
              <w:rPr>
                <w:color w:val="1E1E1E"/>
                <w:sz w:val="14"/>
              </w:rPr>
              <w:t>55,0</w:t>
            </w:r>
          </w:p>
        </w:tc>
        <w:tc>
          <w:tcPr>
            <w:tcW w:w="2160" w:type="dxa"/>
            <w:tcMar>
              <w:top w:w="70" w:type="dxa"/>
              <w:left w:w="85" w:type="dxa"/>
              <w:bottom w:w="70" w:type="dxa"/>
              <w:right w:w="85" w:type="dxa"/>
            </w:tcMar>
            <w:vAlign w:val="center"/>
          </w:tcPr>
          <w:p w14:paraId="650D73ED" w14:textId="77777777" w:rsidR="003357E9" w:rsidRPr="00BA4F7F" w:rsidRDefault="00000000">
            <w:pPr>
              <w:spacing w:after="0"/>
            </w:pPr>
            <w:r w:rsidRPr="00BA4F7F">
              <w:rPr>
                <w:color w:val="1E1E1E"/>
                <w:sz w:val="14"/>
              </w:rPr>
              <w:t>POGORSZENIE STRUKTURALNE</w:t>
            </w:r>
          </w:p>
        </w:tc>
        <w:tc>
          <w:tcPr>
            <w:tcW w:w="1944" w:type="dxa"/>
            <w:tcMar>
              <w:top w:w="70" w:type="dxa"/>
              <w:left w:w="85" w:type="dxa"/>
              <w:bottom w:w="70" w:type="dxa"/>
              <w:right w:w="85" w:type="dxa"/>
            </w:tcMar>
            <w:vAlign w:val="center"/>
          </w:tcPr>
          <w:p w14:paraId="502544B5" w14:textId="77777777" w:rsidR="003357E9" w:rsidRPr="00BA4F7F" w:rsidRDefault="00000000">
            <w:pPr>
              <w:spacing w:after="0"/>
            </w:pPr>
            <w:r w:rsidRPr="00BA4F7F">
              <w:rPr>
                <w:color w:val="1E1E1E"/>
                <w:sz w:val="14"/>
              </w:rPr>
              <w:t>Spadek 3-letni przy co najmniej dwóch latach pogorszenia.</w:t>
            </w:r>
          </w:p>
        </w:tc>
        <w:tc>
          <w:tcPr>
            <w:tcW w:w="2808" w:type="dxa"/>
            <w:tcMar>
              <w:top w:w="70" w:type="dxa"/>
              <w:left w:w="85" w:type="dxa"/>
              <w:bottom w:w="70" w:type="dxa"/>
              <w:right w:w="85" w:type="dxa"/>
            </w:tcMar>
            <w:vAlign w:val="center"/>
          </w:tcPr>
          <w:p w14:paraId="40C9A607" w14:textId="77777777" w:rsidR="003357E9" w:rsidRPr="00BA4F7F" w:rsidRDefault="00000000">
            <w:pPr>
              <w:spacing w:after="0"/>
            </w:pPr>
            <w:r w:rsidRPr="00BA4F7F">
              <w:rPr>
                <w:color w:val="1E1E1E"/>
                <w:sz w:val="14"/>
              </w:rPr>
              <w:t>utrwalenie niższej trajektorii zdolności państwa</w:t>
            </w:r>
          </w:p>
        </w:tc>
      </w:tr>
      <w:tr w:rsidR="003357E9" w:rsidRPr="00BA4F7F" w14:paraId="6DDE19A4" w14:textId="77777777">
        <w:trPr>
          <w:cantSplit/>
          <w:jc w:val="center"/>
        </w:trPr>
        <w:tc>
          <w:tcPr>
            <w:tcW w:w="1800" w:type="dxa"/>
            <w:shd w:val="clear" w:color="auto" w:fill="EDF1F4"/>
            <w:tcMar>
              <w:top w:w="70" w:type="dxa"/>
              <w:left w:w="85" w:type="dxa"/>
              <w:bottom w:w="70" w:type="dxa"/>
              <w:right w:w="85" w:type="dxa"/>
            </w:tcMar>
            <w:vAlign w:val="center"/>
          </w:tcPr>
          <w:p w14:paraId="13F74A43" w14:textId="77777777" w:rsidR="003357E9" w:rsidRPr="00BA4F7F" w:rsidRDefault="00000000">
            <w:pPr>
              <w:spacing w:after="0"/>
            </w:pPr>
            <w:r w:rsidRPr="00BA4F7F">
              <w:rPr>
                <w:color w:val="1E1E1E"/>
                <w:sz w:val="14"/>
              </w:rPr>
              <w:t>Filar I – Kondycja systemowa</w:t>
            </w:r>
          </w:p>
        </w:tc>
        <w:tc>
          <w:tcPr>
            <w:tcW w:w="792" w:type="dxa"/>
            <w:shd w:val="clear" w:color="auto" w:fill="EDF1F4"/>
            <w:tcMar>
              <w:top w:w="70" w:type="dxa"/>
              <w:left w:w="85" w:type="dxa"/>
              <w:bottom w:w="70" w:type="dxa"/>
              <w:right w:w="85" w:type="dxa"/>
            </w:tcMar>
            <w:vAlign w:val="center"/>
          </w:tcPr>
          <w:p w14:paraId="10E8BB18" w14:textId="77777777" w:rsidR="003357E9" w:rsidRPr="00BA4F7F" w:rsidRDefault="00000000">
            <w:pPr>
              <w:spacing w:after="0"/>
            </w:pPr>
            <w:r w:rsidRPr="00BA4F7F">
              <w:rPr>
                <w:color w:val="1E1E1E"/>
                <w:sz w:val="14"/>
              </w:rPr>
              <w:t>55,5</w:t>
            </w:r>
          </w:p>
        </w:tc>
        <w:tc>
          <w:tcPr>
            <w:tcW w:w="2160" w:type="dxa"/>
            <w:shd w:val="clear" w:color="auto" w:fill="EDF1F4"/>
            <w:tcMar>
              <w:top w:w="70" w:type="dxa"/>
              <w:left w:w="85" w:type="dxa"/>
              <w:bottom w:w="70" w:type="dxa"/>
              <w:right w:w="85" w:type="dxa"/>
            </w:tcMar>
            <w:vAlign w:val="center"/>
          </w:tcPr>
          <w:p w14:paraId="4B5E3786" w14:textId="77777777" w:rsidR="003357E9" w:rsidRPr="00BA4F7F" w:rsidRDefault="00000000">
            <w:pPr>
              <w:spacing w:after="0"/>
            </w:pPr>
            <w:r w:rsidRPr="00BA4F7F">
              <w:rPr>
                <w:color w:val="1E1E1E"/>
                <w:sz w:val="14"/>
              </w:rPr>
              <w:t>POGORSZENIE STRUKTURALNE</w:t>
            </w:r>
          </w:p>
        </w:tc>
        <w:tc>
          <w:tcPr>
            <w:tcW w:w="1944" w:type="dxa"/>
            <w:shd w:val="clear" w:color="auto" w:fill="EDF1F4"/>
            <w:tcMar>
              <w:top w:w="70" w:type="dxa"/>
              <w:left w:w="85" w:type="dxa"/>
              <w:bottom w:w="70" w:type="dxa"/>
              <w:right w:w="85" w:type="dxa"/>
            </w:tcMar>
            <w:vAlign w:val="center"/>
          </w:tcPr>
          <w:p w14:paraId="7884E52B" w14:textId="77777777" w:rsidR="003357E9" w:rsidRPr="00BA4F7F" w:rsidRDefault="00000000">
            <w:pPr>
              <w:spacing w:after="0"/>
            </w:pPr>
            <w:r w:rsidRPr="00BA4F7F">
              <w:rPr>
                <w:color w:val="1E1E1E"/>
                <w:sz w:val="14"/>
              </w:rPr>
              <w:t>Spadek 3-letni przy co najmniej dwóch latach pogorszenia.</w:t>
            </w:r>
          </w:p>
        </w:tc>
        <w:tc>
          <w:tcPr>
            <w:tcW w:w="2808" w:type="dxa"/>
            <w:shd w:val="clear" w:color="auto" w:fill="EDF1F4"/>
            <w:tcMar>
              <w:top w:w="70" w:type="dxa"/>
              <w:left w:w="85" w:type="dxa"/>
              <w:bottom w:w="70" w:type="dxa"/>
              <w:right w:w="85" w:type="dxa"/>
            </w:tcMar>
            <w:vAlign w:val="center"/>
          </w:tcPr>
          <w:p w14:paraId="1D58AC7E" w14:textId="77777777" w:rsidR="003357E9" w:rsidRPr="00BA4F7F" w:rsidRDefault="00000000">
            <w:pPr>
              <w:spacing w:after="0"/>
            </w:pPr>
            <w:r w:rsidRPr="00BA4F7F">
              <w:rPr>
                <w:color w:val="1E1E1E"/>
                <w:sz w:val="14"/>
              </w:rPr>
              <w:t>osłabienie zasobów systemowych mimo silniejszych obszarów operacyjnych</w:t>
            </w:r>
          </w:p>
        </w:tc>
      </w:tr>
      <w:tr w:rsidR="003357E9" w:rsidRPr="00BA4F7F" w14:paraId="3468C7BD" w14:textId="77777777">
        <w:trPr>
          <w:cantSplit/>
          <w:jc w:val="center"/>
        </w:trPr>
        <w:tc>
          <w:tcPr>
            <w:tcW w:w="1800" w:type="dxa"/>
            <w:tcMar>
              <w:top w:w="70" w:type="dxa"/>
              <w:left w:w="85" w:type="dxa"/>
              <w:bottom w:w="70" w:type="dxa"/>
              <w:right w:w="85" w:type="dxa"/>
            </w:tcMar>
            <w:vAlign w:val="center"/>
          </w:tcPr>
          <w:p w14:paraId="7C8A876F" w14:textId="77777777" w:rsidR="003357E9" w:rsidRPr="00BA4F7F" w:rsidRDefault="00000000">
            <w:pPr>
              <w:spacing w:after="0"/>
            </w:pPr>
            <w:r w:rsidRPr="00BA4F7F">
              <w:rPr>
                <w:color w:val="1E1E1E"/>
                <w:sz w:val="14"/>
              </w:rPr>
              <w:t>Filar II – Strategia i państwo</w:t>
            </w:r>
          </w:p>
        </w:tc>
        <w:tc>
          <w:tcPr>
            <w:tcW w:w="792" w:type="dxa"/>
            <w:tcMar>
              <w:top w:w="70" w:type="dxa"/>
              <w:left w:w="85" w:type="dxa"/>
              <w:bottom w:w="70" w:type="dxa"/>
              <w:right w:w="85" w:type="dxa"/>
            </w:tcMar>
            <w:vAlign w:val="center"/>
          </w:tcPr>
          <w:p w14:paraId="697AAC07" w14:textId="77777777" w:rsidR="003357E9" w:rsidRPr="00BA4F7F" w:rsidRDefault="00000000">
            <w:pPr>
              <w:spacing w:after="0"/>
            </w:pPr>
            <w:r>
              <w:rPr>
                <w:color w:val="1E1E1E"/>
                <w:sz w:val="14"/>
              </w:rPr>
              <w:t>54,3</w:t>
            </w:r>
          </w:p>
        </w:tc>
        <w:tc>
          <w:tcPr>
            <w:tcW w:w="2160" w:type="dxa"/>
            <w:tcMar>
              <w:top w:w="70" w:type="dxa"/>
              <w:left w:w="85" w:type="dxa"/>
              <w:bottom w:w="70" w:type="dxa"/>
              <w:right w:w="85" w:type="dxa"/>
            </w:tcMar>
            <w:vAlign w:val="center"/>
          </w:tcPr>
          <w:p w14:paraId="22266861" w14:textId="77777777" w:rsidR="003357E9" w:rsidRPr="00BA4F7F" w:rsidRDefault="00000000">
            <w:pPr>
              <w:spacing w:after="0"/>
            </w:pPr>
            <w:r w:rsidRPr="00BA4F7F">
              <w:rPr>
                <w:color w:val="1E1E1E"/>
                <w:sz w:val="14"/>
              </w:rPr>
              <w:t>POGORSZENIE STRUKTURALNE</w:t>
            </w:r>
          </w:p>
        </w:tc>
        <w:tc>
          <w:tcPr>
            <w:tcW w:w="1944" w:type="dxa"/>
            <w:tcMar>
              <w:top w:w="70" w:type="dxa"/>
              <w:left w:w="85" w:type="dxa"/>
              <w:bottom w:w="70" w:type="dxa"/>
              <w:right w:w="85" w:type="dxa"/>
            </w:tcMar>
            <w:vAlign w:val="center"/>
          </w:tcPr>
          <w:p w14:paraId="367F10EE" w14:textId="77777777" w:rsidR="003357E9" w:rsidRPr="00BA4F7F" w:rsidRDefault="00000000">
            <w:pPr>
              <w:spacing w:after="0"/>
            </w:pPr>
            <w:r w:rsidRPr="00BA4F7F">
              <w:rPr>
                <w:color w:val="1E1E1E"/>
                <w:sz w:val="14"/>
              </w:rPr>
              <w:t>Spadek 3-letni przy co najmniej dwóch latach pogorszenia.</w:t>
            </w:r>
          </w:p>
        </w:tc>
        <w:tc>
          <w:tcPr>
            <w:tcW w:w="2808" w:type="dxa"/>
            <w:tcMar>
              <w:top w:w="70" w:type="dxa"/>
              <w:left w:w="85" w:type="dxa"/>
              <w:bottom w:w="70" w:type="dxa"/>
              <w:right w:w="85" w:type="dxa"/>
            </w:tcMar>
            <w:vAlign w:val="center"/>
          </w:tcPr>
          <w:p w14:paraId="43B93D13" w14:textId="77777777" w:rsidR="003357E9" w:rsidRPr="00BA4F7F" w:rsidRDefault="00000000">
            <w:pPr>
              <w:spacing w:after="0"/>
            </w:pPr>
            <w:r w:rsidRPr="00BA4F7F">
              <w:rPr>
                <w:color w:val="1E1E1E"/>
                <w:sz w:val="14"/>
              </w:rPr>
              <w:t>pogorszenie zdolności do trwałego wykonania decyzji</w:t>
            </w:r>
          </w:p>
        </w:tc>
      </w:tr>
      <w:tr w:rsidR="003357E9" w:rsidRPr="00BA4F7F" w14:paraId="2FAC7490" w14:textId="77777777">
        <w:trPr>
          <w:cantSplit/>
          <w:jc w:val="center"/>
        </w:trPr>
        <w:tc>
          <w:tcPr>
            <w:tcW w:w="1800" w:type="dxa"/>
            <w:shd w:val="clear" w:color="auto" w:fill="EDF1F4"/>
            <w:tcMar>
              <w:top w:w="70" w:type="dxa"/>
              <w:left w:w="85" w:type="dxa"/>
              <w:bottom w:w="70" w:type="dxa"/>
              <w:right w:w="85" w:type="dxa"/>
            </w:tcMar>
            <w:vAlign w:val="center"/>
          </w:tcPr>
          <w:p w14:paraId="32C35C3A" w14:textId="77777777" w:rsidR="003357E9" w:rsidRPr="00BA4F7F" w:rsidRDefault="00000000">
            <w:pPr>
              <w:spacing w:after="0"/>
            </w:pPr>
            <w:r w:rsidRPr="00BA4F7F">
              <w:rPr>
                <w:color w:val="1E1E1E"/>
                <w:sz w:val="14"/>
              </w:rPr>
              <w:lastRenderedPageBreak/>
              <w:t>Demografia</w:t>
            </w:r>
          </w:p>
        </w:tc>
        <w:tc>
          <w:tcPr>
            <w:tcW w:w="792" w:type="dxa"/>
            <w:shd w:val="clear" w:color="auto" w:fill="EDF1F4"/>
            <w:tcMar>
              <w:top w:w="70" w:type="dxa"/>
              <w:left w:w="85" w:type="dxa"/>
              <w:bottom w:w="70" w:type="dxa"/>
              <w:right w:w="85" w:type="dxa"/>
            </w:tcMar>
            <w:vAlign w:val="center"/>
          </w:tcPr>
          <w:p w14:paraId="0BB5EA40" w14:textId="77777777" w:rsidR="003357E9" w:rsidRPr="00BA4F7F" w:rsidRDefault="00000000">
            <w:pPr>
              <w:spacing w:after="0"/>
            </w:pPr>
            <w:r w:rsidRPr="00BA4F7F">
              <w:rPr>
                <w:color w:val="1E1E1E"/>
                <w:sz w:val="14"/>
              </w:rPr>
              <w:t>29,4</w:t>
            </w:r>
          </w:p>
        </w:tc>
        <w:tc>
          <w:tcPr>
            <w:tcW w:w="2160" w:type="dxa"/>
            <w:shd w:val="clear" w:color="auto" w:fill="EDF1F4"/>
            <w:tcMar>
              <w:top w:w="70" w:type="dxa"/>
              <w:left w:w="85" w:type="dxa"/>
              <w:bottom w:w="70" w:type="dxa"/>
              <w:right w:w="85" w:type="dxa"/>
            </w:tcMar>
            <w:vAlign w:val="center"/>
          </w:tcPr>
          <w:p w14:paraId="5CE8502C" w14:textId="77777777" w:rsidR="003357E9" w:rsidRPr="00BA4F7F" w:rsidRDefault="00000000">
            <w:pPr>
              <w:spacing w:after="0"/>
            </w:pPr>
            <w:r w:rsidRPr="00BA4F7F">
              <w:rPr>
                <w:color w:val="1E1E1E"/>
                <w:sz w:val="14"/>
              </w:rPr>
              <w:t>WYSOKIEGO RYZYKA; POGORSZENIE STRUKTURALNE</w:t>
            </w:r>
          </w:p>
        </w:tc>
        <w:tc>
          <w:tcPr>
            <w:tcW w:w="1944" w:type="dxa"/>
            <w:shd w:val="clear" w:color="auto" w:fill="EDF1F4"/>
            <w:tcMar>
              <w:top w:w="70" w:type="dxa"/>
              <w:left w:w="85" w:type="dxa"/>
              <w:bottom w:w="70" w:type="dxa"/>
              <w:right w:w="85" w:type="dxa"/>
            </w:tcMar>
            <w:vAlign w:val="center"/>
          </w:tcPr>
          <w:p w14:paraId="5758874B" w14:textId="77777777" w:rsidR="003357E9" w:rsidRPr="00BA4F7F" w:rsidRDefault="00000000">
            <w:pPr>
              <w:spacing w:after="0"/>
            </w:pPr>
            <w:r w:rsidRPr="00BA4F7F">
              <w:rPr>
                <w:color w:val="1E1E1E"/>
                <w:sz w:val="14"/>
              </w:rPr>
              <w:t>Wynik poniżej 40 pkt.</w:t>
            </w:r>
          </w:p>
        </w:tc>
        <w:tc>
          <w:tcPr>
            <w:tcW w:w="2808" w:type="dxa"/>
            <w:shd w:val="clear" w:color="auto" w:fill="EDF1F4"/>
            <w:tcMar>
              <w:top w:w="70" w:type="dxa"/>
              <w:left w:w="85" w:type="dxa"/>
              <w:bottom w:w="70" w:type="dxa"/>
              <w:right w:w="85" w:type="dxa"/>
            </w:tcMar>
            <w:vAlign w:val="center"/>
          </w:tcPr>
          <w:p w14:paraId="7A4B23E1" w14:textId="77777777" w:rsidR="003357E9" w:rsidRPr="00BA4F7F" w:rsidRDefault="00000000">
            <w:pPr>
              <w:spacing w:after="0"/>
            </w:pPr>
            <w:r w:rsidRPr="00BA4F7F">
              <w:rPr>
                <w:color w:val="1E1E1E"/>
                <w:sz w:val="14"/>
              </w:rPr>
              <w:t>ryzyko horyzontalne dla pracy, finansów, usług i bezpieczeństwa</w:t>
            </w:r>
          </w:p>
        </w:tc>
      </w:tr>
      <w:tr w:rsidR="003357E9" w:rsidRPr="00BA4F7F" w14:paraId="3CE37F2E" w14:textId="77777777">
        <w:trPr>
          <w:cantSplit/>
          <w:jc w:val="center"/>
        </w:trPr>
        <w:tc>
          <w:tcPr>
            <w:tcW w:w="1800" w:type="dxa"/>
            <w:tcMar>
              <w:top w:w="70" w:type="dxa"/>
              <w:left w:w="85" w:type="dxa"/>
              <w:bottom w:w="70" w:type="dxa"/>
              <w:right w:w="85" w:type="dxa"/>
            </w:tcMar>
            <w:vAlign w:val="center"/>
          </w:tcPr>
          <w:p w14:paraId="06007BAD" w14:textId="77777777" w:rsidR="003357E9" w:rsidRPr="00BA4F7F" w:rsidRDefault="00000000">
            <w:pPr>
              <w:spacing w:after="0"/>
            </w:pPr>
            <w:r w:rsidRPr="00BA4F7F">
              <w:rPr>
                <w:color w:val="1E1E1E"/>
                <w:sz w:val="14"/>
              </w:rPr>
              <w:t>Ład instytucjonalny</w:t>
            </w:r>
          </w:p>
        </w:tc>
        <w:tc>
          <w:tcPr>
            <w:tcW w:w="792" w:type="dxa"/>
            <w:tcMar>
              <w:top w:w="70" w:type="dxa"/>
              <w:left w:w="85" w:type="dxa"/>
              <w:bottom w:w="70" w:type="dxa"/>
              <w:right w:w="85" w:type="dxa"/>
            </w:tcMar>
            <w:vAlign w:val="center"/>
          </w:tcPr>
          <w:p w14:paraId="5B955AA3" w14:textId="77777777" w:rsidR="003357E9" w:rsidRPr="00BA4F7F" w:rsidRDefault="00000000">
            <w:pPr>
              <w:spacing w:after="0"/>
            </w:pPr>
            <w:r w:rsidRPr="00BA4F7F">
              <w:rPr>
                <w:color w:val="1E1E1E"/>
                <w:sz w:val="14"/>
              </w:rPr>
              <w:t>34,7</w:t>
            </w:r>
          </w:p>
        </w:tc>
        <w:tc>
          <w:tcPr>
            <w:tcW w:w="2160" w:type="dxa"/>
            <w:tcMar>
              <w:top w:w="70" w:type="dxa"/>
              <w:left w:w="85" w:type="dxa"/>
              <w:bottom w:w="70" w:type="dxa"/>
              <w:right w:w="85" w:type="dxa"/>
            </w:tcMar>
            <w:vAlign w:val="center"/>
          </w:tcPr>
          <w:p w14:paraId="0BC3014D" w14:textId="77777777" w:rsidR="003357E9" w:rsidRPr="00BA4F7F" w:rsidRDefault="00000000">
            <w:pPr>
              <w:spacing w:after="0"/>
            </w:pPr>
            <w:r w:rsidRPr="00BA4F7F">
              <w:rPr>
                <w:color w:val="1E1E1E"/>
                <w:sz w:val="14"/>
              </w:rPr>
              <w:t>WYSOKIEGO RYZYKA; POGORSZENIE STRUKTURALNE</w:t>
            </w:r>
          </w:p>
        </w:tc>
        <w:tc>
          <w:tcPr>
            <w:tcW w:w="1944" w:type="dxa"/>
            <w:tcMar>
              <w:top w:w="70" w:type="dxa"/>
              <w:left w:w="85" w:type="dxa"/>
              <w:bottom w:w="70" w:type="dxa"/>
              <w:right w:w="85" w:type="dxa"/>
            </w:tcMar>
            <w:vAlign w:val="center"/>
          </w:tcPr>
          <w:p w14:paraId="53159188" w14:textId="77777777" w:rsidR="003357E9" w:rsidRPr="00BA4F7F" w:rsidRDefault="00000000">
            <w:pPr>
              <w:spacing w:after="0"/>
            </w:pPr>
            <w:r w:rsidRPr="00BA4F7F">
              <w:rPr>
                <w:color w:val="1E1E1E"/>
                <w:sz w:val="14"/>
              </w:rPr>
              <w:t>Wynik poniżej 40 pkt.</w:t>
            </w:r>
          </w:p>
        </w:tc>
        <w:tc>
          <w:tcPr>
            <w:tcW w:w="2808" w:type="dxa"/>
            <w:tcMar>
              <w:top w:w="70" w:type="dxa"/>
              <w:left w:w="85" w:type="dxa"/>
              <w:bottom w:w="70" w:type="dxa"/>
              <w:right w:w="85" w:type="dxa"/>
            </w:tcMar>
            <w:vAlign w:val="center"/>
          </w:tcPr>
          <w:p w14:paraId="7D7CEED6" w14:textId="77777777" w:rsidR="003357E9" w:rsidRPr="00BA4F7F" w:rsidRDefault="00000000">
            <w:pPr>
              <w:spacing w:after="0"/>
            </w:pPr>
            <w:r w:rsidRPr="00BA4F7F">
              <w:rPr>
                <w:color w:val="1E1E1E"/>
                <w:sz w:val="14"/>
              </w:rPr>
              <w:t>wzrost kosztu, odwracalności i niepewności decyzji państwa</w:t>
            </w:r>
          </w:p>
        </w:tc>
      </w:tr>
      <w:tr w:rsidR="003357E9" w:rsidRPr="00BA4F7F" w14:paraId="4C234306" w14:textId="77777777">
        <w:trPr>
          <w:cantSplit/>
          <w:jc w:val="center"/>
        </w:trPr>
        <w:tc>
          <w:tcPr>
            <w:tcW w:w="1800" w:type="dxa"/>
            <w:shd w:val="clear" w:color="auto" w:fill="EDF1F4"/>
            <w:tcMar>
              <w:top w:w="70" w:type="dxa"/>
              <w:left w:w="85" w:type="dxa"/>
              <w:bottom w:w="70" w:type="dxa"/>
              <w:right w:w="85" w:type="dxa"/>
            </w:tcMar>
            <w:vAlign w:val="center"/>
          </w:tcPr>
          <w:p w14:paraId="7E92CFDD" w14:textId="77777777" w:rsidR="003357E9" w:rsidRPr="00BA4F7F" w:rsidRDefault="00000000">
            <w:pPr>
              <w:spacing w:after="0"/>
            </w:pPr>
            <w:r w:rsidRPr="00BA4F7F">
              <w:rPr>
                <w:color w:val="1E1E1E"/>
                <w:sz w:val="14"/>
              </w:rPr>
              <w:t>Finanse publiczne</w:t>
            </w:r>
          </w:p>
        </w:tc>
        <w:tc>
          <w:tcPr>
            <w:tcW w:w="792" w:type="dxa"/>
            <w:shd w:val="clear" w:color="auto" w:fill="EDF1F4"/>
            <w:tcMar>
              <w:top w:w="70" w:type="dxa"/>
              <w:left w:w="85" w:type="dxa"/>
              <w:bottom w:w="70" w:type="dxa"/>
              <w:right w:w="85" w:type="dxa"/>
            </w:tcMar>
            <w:vAlign w:val="center"/>
          </w:tcPr>
          <w:p w14:paraId="613D4E6A" w14:textId="77777777" w:rsidR="003357E9" w:rsidRPr="00BA4F7F" w:rsidRDefault="00000000">
            <w:pPr>
              <w:spacing w:after="0"/>
            </w:pPr>
            <w:r w:rsidRPr="00BA4F7F">
              <w:rPr>
                <w:color w:val="1E1E1E"/>
                <w:sz w:val="14"/>
              </w:rPr>
              <w:t>51,7</w:t>
            </w:r>
          </w:p>
        </w:tc>
        <w:tc>
          <w:tcPr>
            <w:tcW w:w="2160" w:type="dxa"/>
            <w:shd w:val="clear" w:color="auto" w:fill="EDF1F4"/>
            <w:tcMar>
              <w:top w:w="70" w:type="dxa"/>
              <w:left w:w="85" w:type="dxa"/>
              <w:bottom w:w="70" w:type="dxa"/>
              <w:right w:w="85" w:type="dxa"/>
            </w:tcMar>
            <w:vAlign w:val="center"/>
          </w:tcPr>
          <w:p w14:paraId="07F61F8A" w14:textId="77777777" w:rsidR="003357E9" w:rsidRPr="00BA4F7F" w:rsidRDefault="00000000">
            <w:pPr>
              <w:spacing w:after="0"/>
            </w:pPr>
            <w:r w:rsidRPr="00BA4F7F">
              <w:rPr>
                <w:color w:val="1E1E1E"/>
                <w:sz w:val="14"/>
              </w:rPr>
              <w:t>POGORSZENIE STRUKTURALNE</w:t>
            </w:r>
          </w:p>
        </w:tc>
        <w:tc>
          <w:tcPr>
            <w:tcW w:w="1944" w:type="dxa"/>
            <w:shd w:val="clear" w:color="auto" w:fill="EDF1F4"/>
            <w:tcMar>
              <w:top w:w="70" w:type="dxa"/>
              <w:left w:w="85" w:type="dxa"/>
              <w:bottom w:w="70" w:type="dxa"/>
              <w:right w:w="85" w:type="dxa"/>
            </w:tcMar>
            <w:vAlign w:val="center"/>
          </w:tcPr>
          <w:p w14:paraId="08249B3F" w14:textId="77777777" w:rsidR="003357E9" w:rsidRPr="00BA4F7F" w:rsidRDefault="00000000">
            <w:pPr>
              <w:spacing w:after="0"/>
            </w:pPr>
            <w:r w:rsidRPr="00BA4F7F">
              <w:rPr>
                <w:color w:val="1E1E1E"/>
                <w:sz w:val="14"/>
              </w:rPr>
              <w:t>Spadek 3-letni przy co najmniej dwóch latach pogorszenia.</w:t>
            </w:r>
          </w:p>
        </w:tc>
        <w:tc>
          <w:tcPr>
            <w:tcW w:w="2808" w:type="dxa"/>
            <w:shd w:val="clear" w:color="auto" w:fill="EDF1F4"/>
            <w:tcMar>
              <w:top w:w="70" w:type="dxa"/>
              <w:left w:w="85" w:type="dxa"/>
              <w:bottom w:w="70" w:type="dxa"/>
              <w:right w:w="85" w:type="dxa"/>
            </w:tcMar>
            <w:vAlign w:val="center"/>
          </w:tcPr>
          <w:p w14:paraId="7F647682" w14:textId="77777777" w:rsidR="003357E9" w:rsidRPr="00BA4F7F" w:rsidRDefault="00000000">
            <w:pPr>
              <w:spacing w:after="0"/>
            </w:pPr>
            <w:r w:rsidRPr="00BA4F7F">
              <w:rPr>
                <w:color w:val="1E1E1E"/>
                <w:sz w:val="14"/>
              </w:rPr>
              <w:t>kurczenie rezerwy na kolejny kryzys i zobowiązania wieloletnie</w:t>
            </w:r>
          </w:p>
        </w:tc>
      </w:tr>
      <w:tr w:rsidR="003357E9" w:rsidRPr="00BA4F7F" w14:paraId="37781607" w14:textId="77777777">
        <w:trPr>
          <w:cantSplit/>
          <w:jc w:val="center"/>
        </w:trPr>
        <w:tc>
          <w:tcPr>
            <w:tcW w:w="1800" w:type="dxa"/>
            <w:tcMar>
              <w:top w:w="70" w:type="dxa"/>
              <w:left w:w="85" w:type="dxa"/>
              <w:bottom w:w="70" w:type="dxa"/>
              <w:right w:w="85" w:type="dxa"/>
            </w:tcMar>
            <w:vAlign w:val="center"/>
          </w:tcPr>
          <w:p w14:paraId="7FCF294C" w14:textId="77777777" w:rsidR="003357E9" w:rsidRPr="00BA4F7F" w:rsidRDefault="00000000">
            <w:pPr>
              <w:spacing w:after="0"/>
            </w:pPr>
            <w:r w:rsidRPr="00BA4F7F">
              <w:rPr>
                <w:color w:val="1E1E1E"/>
                <w:sz w:val="14"/>
              </w:rPr>
              <w:t>Bezpieczeństwo publiczne</w:t>
            </w:r>
          </w:p>
        </w:tc>
        <w:tc>
          <w:tcPr>
            <w:tcW w:w="792" w:type="dxa"/>
            <w:tcMar>
              <w:top w:w="70" w:type="dxa"/>
              <w:left w:w="85" w:type="dxa"/>
              <w:bottom w:w="70" w:type="dxa"/>
              <w:right w:w="85" w:type="dxa"/>
            </w:tcMar>
            <w:vAlign w:val="center"/>
          </w:tcPr>
          <w:p w14:paraId="49704CEF" w14:textId="77777777" w:rsidR="003357E9" w:rsidRPr="00BA4F7F" w:rsidRDefault="00000000">
            <w:pPr>
              <w:spacing w:after="0"/>
            </w:pPr>
            <w:r w:rsidRPr="00BA4F7F">
              <w:rPr>
                <w:color w:val="1E1E1E"/>
                <w:sz w:val="14"/>
              </w:rPr>
              <w:t>64,6</w:t>
            </w:r>
          </w:p>
        </w:tc>
        <w:tc>
          <w:tcPr>
            <w:tcW w:w="2160" w:type="dxa"/>
            <w:tcMar>
              <w:top w:w="70" w:type="dxa"/>
              <w:left w:w="85" w:type="dxa"/>
              <w:bottom w:w="70" w:type="dxa"/>
              <w:right w:w="85" w:type="dxa"/>
            </w:tcMar>
            <w:vAlign w:val="center"/>
          </w:tcPr>
          <w:p w14:paraId="74443E45" w14:textId="77777777" w:rsidR="003357E9" w:rsidRPr="00BA4F7F" w:rsidRDefault="00000000">
            <w:pPr>
              <w:spacing w:after="0"/>
            </w:pPr>
            <w:r w:rsidRPr="00BA4F7F">
              <w:rPr>
                <w:color w:val="1E1E1E"/>
                <w:sz w:val="14"/>
              </w:rPr>
              <w:t>POGORSZENIE STRUKTURALNE</w:t>
            </w:r>
          </w:p>
        </w:tc>
        <w:tc>
          <w:tcPr>
            <w:tcW w:w="1944" w:type="dxa"/>
            <w:tcMar>
              <w:top w:w="70" w:type="dxa"/>
              <w:left w:w="85" w:type="dxa"/>
              <w:bottom w:w="70" w:type="dxa"/>
              <w:right w:w="85" w:type="dxa"/>
            </w:tcMar>
            <w:vAlign w:val="center"/>
          </w:tcPr>
          <w:p w14:paraId="7915C7E9" w14:textId="77777777" w:rsidR="003357E9" w:rsidRPr="00BA4F7F" w:rsidRDefault="00000000">
            <w:pPr>
              <w:spacing w:after="0"/>
            </w:pPr>
            <w:r w:rsidRPr="00BA4F7F">
              <w:rPr>
                <w:color w:val="1E1E1E"/>
                <w:sz w:val="14"/>
              </w:rPr>
              <w:t>Spadek 3-letni przy co najmniej dwóch latach pogorszenia.</w:t>
            </w:r>
          </w:p>
        </w:tc>
        <w:tc>
          <w:tcPr>
            <w:tcW w:w="2808" w:type="dxa"/>
            <w:tcMar>
              <w:top w:w="70" w:type="dxa"/>
              <w:left w:w="85" w:type="dxa"/>
              <w:bottom w:w="70" w:type="dxa"/>
              <w:right w:w="85" w:type="dxa"/>
            </w:tcMar>
            <w:vAlign w:val="center"/>
          </w:tcPr>
          <w:p w14:paraId="53A336BF" w14:textId="77777777" w:rsidR="003357E9" w:rsidRPr="00BA4F7F" w:rsidRDefault="00000000">
            <w:pPr>
              <w:spacing w:after="0"/>
            </w:pPr>
            <w:r w:rsidRPr="00BA4F7F">
              <w:rPr>
                <w:color w:val="1E1E1E"/>
                <w:sz w:val="14"/>
              </w:rPr>
              <w:t>osłabienie spójności kontroli granicznej i migracyjnej</w:t>
            </w:r>
          </w:p>
        </w:tc>
      </w:tr>
      <w:tr w:rsidR="003357E9" w:rsidRPr="00BA4F7F" w14:paraId="41426A70" w14:textId="77777777">
        <w:trPr>
          <w:cantSplit/>
          <w:jc w:val="center"/>
        </w:trPr>
        <w:tc>
          <w:tcPr>
            <w:tcW w:w="1800" w:type="dxa"/>
            <w:shd w:val="clear" w:color="auto" w:fill="EDF1F4"/>
            <w:tcMar>
              <w:top w:w="70" w:type="dxa"/>
              <w:left w:w="85" w:type="dxa"/>
              <w:bottom w:w="70" w:type="dxa"/>
              <w:right w:w="85" w:type="dxa"/>
            </w:tcMar>
            <w:vAlign w:val="center"/>
          </w:tcPr>
          <w:p w14:paraId="14F1DFD0" w14:textId="77777777" w:rsidR="003357E9" w:rsidRPr="00BA4F7F" w:rsidRDefault="00000000">
            <w:pPr>
              <w:spacing w:after="0"/>
            </w:pPr>
            <w:r w:rsidRPr="00BA4F7F">
              <w:rPr>
                <w:color w:val="1E1E1E"/>
                <w:sz w:val="14"/>
              </w:rPr>
              <w:t>Dzietność</w:t>
            </w:r>
          </w:p>
        </w:tc>
        <w:tc>
          <w:tcPr>
            <w:tcW w:w="792" w:type="dxa"/>
            <w:shd w:val="clear" w:color="auto" w:fill="EDF1F4"/>
            <w:tcMar>
              <w:top w:w="70" w:type="dxa"/>
              <w:left w:w="85" w:type="dxa"/>
              <w:bottom w:w="70" w:type="dxa"/>
              <w:right w:w="85" w:type="dxa"/>
            </w:tcMar>
            <w:vAlign w:val="center"/>
          </w:tcPr>
          <w:p w14:paraId="1E23FD2A" w14:textId="77777777" w:rsidR="003357E9" w:rsidRPr="00BA4F7F" w:rsidRDefault="00000000">
            <w:pPr>
              <w:spacing w:after="0"/>
            </w:pPr>
            <w:r w:rsidRPr="00BA4F7F">
              <w:rPr>
                <w:color w:val="1E1E1E"/>
                <w:sz w:val="14"/>
              </w:rPr>
              <w:t>6,0</w:t>
            </w:r>
          </w:p>
        </w:tc>
        <w:tc>
          <w:tcPr>
            <w:tcW w:w="2160" w:type="dxa"/>
            <w:shd w:val="clear" w:color="auto" w:fill="EDF1F4"/>
            <w:tcMar>
              <w:top w:w="70" w:type="dxa"/>
              <w:left w:w="85" w:type="dxa"/>
              <w:bottom w:w="70" w:type="dxa"/>
              <w:right w:w="85" w:type="dxa"/>
            </w:tcMar>
            <w:vAlign w:val="center"/>
          </w:tcPr>
          <w:p w14:paraId="65B3FC7D" w14:textId="77777777" w:rsidR="003357E9" w:rsidRPr="00BA4F7F" w:rsidRDefault="00000000">
            <w:pPr>
              <w:spacing w:after="0"/>
            </w:pPr>
            <w:r w:rsidRPr="00BA4F7F">
              <w:rPr>
                <w:color w:val="1E1E1E"/>
                <w:sz w:val="14"/>
              </w:rPr>
              <w:t>KRYTYCZNY; POGORSZENIE STRUKTURALNE; TRWAŁA SŁABOŚĆ</w:t>
            </w:r>
          </w:p>
        </w:tc>
        <w:tc>
          <w:tcPr>
            <w:tcW w:w="1944" w:type="dxa"/>
            <w:shd w:val="clear" w:color="auto" w:fill="EDF1F4"/>
            <w:tcMar>
              <w:top w:w="70" w:type="dxa"/>
              <w:left w:w="85" w:type="dxa"/>
              <w:bottom w:w="70" w:type="dxa"/>
              <w:right w:w="85" w:type="dxa"/>
            </w:tcMar>
            <w:vAlign w:val="center"/>
          </w:tcPr>
          <w:p w14:paraId="44EA2525" w14:textId="77777777" w:rsidR="003357E9" w:rsidRPr="00BA4F7F" w:rsidRDefault="00000000">
            <w:pPr>
              <w:spacing w:after="0"/>
            </w:pPr>
            <w:r w:rsidRPr="00BA4F7F">
              <w:rPr>
                <w:color w:val="1E1E1E"/>
                <w:sz w:val="14"/>
              </w:rPr>
              <w:t>Wynik poniżej 20 pkt.</w:t>
            </w:r>
          </w:p>
        </w:tc>
        <w:tc>
          <w:tcPr>
            <w:tcW w:w="2808" w:type="dxa"/>
            <w:shd w:val="clear" w:color="auto" w:fill="EDF1F4"/>
            <w:tcMar>
              <w:top w:w="70" w:type="dxa"/>
              <w:left w:w="85" w:type="dxa"/>
              <w:bottom w:w="70" w:type="dxa"/>
              <w:right w:w="85" w:type="dxa"/>
            </w:tcMar>
            <w:vAlign w:val="center"/>
          </w:tcPr>
          <w:p w14:paraId="659FDF32" w14:textId="77777777" w:rsidR="003357E9" w:rsidRPr="00BA4F7F" w:rsidRDefault="00000000">
            <w:pPr>
              <w:spacing w:after="0"/>
            </w:pPr>
            <w:r w:rsidRPr="00BA4F7F">
              <w:rPr>
                <w:color w:val="1E1E1E"/>
                <w:sz w:val="14"/>
              </w:rPr>
              <w:t>krytycznie słaby mechanizm odtwarzania pokoleń</w:t>
            </w:r>
          </w:p>
        </w:tc>
      </w:tr>
      <w:tr w:rsidR="003357E9" w:rsidRPr="00BA4F7F" w14:paraId="13765B2A" w14:textId="77777777">
        <w:trPr>
          <w:cantSplit/>
          <w:jc w:val="center"/>
        </w:trPr>
        <w:tc>
          <w:tcPr>
            <w:tcW w:w="1800" w:type="dxa"/>
            <w:tcMar>
              <w:top w:w="70" w:type="dxa"/>
              <w:left w:w="85" w:type="dxa"/>
              <w:bottom w:w="70" w:type="dxa"/>
              <w:right w:w="85" w:type="dxa"/>
            </w:tcMar>
            <w:vAlign w:val="center"/>
          </w:tcPr>
          <w:p w14:paraId="2BFA2C65" w14:textId="77777777" w:rsidR="003357E9" w:rsidRPr="00BA4F7F" w:rsidRDefault="00000000">
            <w:pPr>
              <w:spacing w:after="0"/>
            </w:pPr>
            <w:r w:rsidRPr="00BA4F7F">
              <w:rPr>
                <w:color w:val="1E1E1E"/>
                <w:sz w:val="14"/>
              </w:rPr>
              <w:t>Aktywność państwa wobec kryzysu demograficznego</w:t>
            </w:r>
          </w:p>
        </w:tc>
        <w:tc>
          <w:tcPr>
            <w:tcW w:w="792" w:type="dxa"/>
            <w:tcMar>
              <w:top w:w="70" w:type="dxa"/>
              <w:left w:w="85" w:type="dxa"/>
              <w:bottom w:w="70" w:type="dxa"/>
              <w:right w:w="85" w:type="dxa"/>
            </w:tcMar>
            <w:vAlign w:val="center"/>
          </w:tcPr>
          <w:p w14:paraId="3785F323" w14:textId="77777777" w:rsidR="003357E9" w:rsidRPr="00BA4F7F" w:rsidRDefault="00000000">
            <w:pPr>
              <w:spacing w:after="0"/>
            </w:pPr>
            <w:r w:rsidRPr="00BA4F7F">
              <w:rPr>
                <w:color w:val="1E1E1E"/>
                <w:sz w:val="14"/>
              </w:rPr>
              <w:t>46,0</w:t>
            </w:r>
          </w:p>
        </w:tc>
        <w:tc>
          <w:tcPr>
            <w:tcW w:w="2160" w:type="dxa"/>
            <w:tcMar>
              <w:top w:w="70" w:type="dxa"/>
              <w:left w:w="85" w:type="dxa"/>
              <w:bottom w:w="70" w:type="dxa"/>
              <w:right w:w="85" w:type="dxa"/>
            </w:tcMar>
            <w:vAlign w:val="center"/>
          </w:tcPr>
          <w:p w14:paraId="28CD5464" w14:textId="77777777" w:rsidR="003357E9" w:rsidRPr="00BA4F7F" w:rsidRDefault="00000000">
            <w:pPr>
              <w:spacing w:after="0"/>
            </w:pPr>
            <w:r w:rsidRPr="00BA4F7F">
              <w:rPr>
                <w:color w:val="1E1E1E"/>
                <w:sz w:val="14"/>
              </w:rPr>
              <w:t>POGORSZENIE STRUKTURALNE</w:t>
            </w:r>
          </w:p>
        </w:tc>
        <w:tc>
          <w:tcPr>
            <w:tcW w:w="1944" w:type="dxa"/>
            <w:tcMar>
              <w:top w:w="70" w:type="dxa"/>
              <w:left w:w="85" w:type="dxa"/>
              <w:bottom w:w="70" w:type="dxa"/>
              <w:right w:w="85" w:type="dxa"/>
            </w:tcMar>
            <w:vAlign w:val="center"/>
          </w:tcPr>
          <w:p w14:paraId="682B4F86" w14:textId="77777777" w:rsidR="003357E9" w:rsidRPr="00BA4F7F" w:rsidRDefault="00000000">
            <w:pPr>
              <w:spacing w:after="0"/>
            </w:pPr>
            <w:r w:rsidRPr="00BA4F7F">
              <w:rPr>
                <w:color w:val="1E1E1E"/>
                <w:sz w:val="14"/>
              </w:rPr>
              <w:t>Spadek 3-letni przy co najmniej dwóch latach pogorszenia.</w:t>
            </w:r>
          </w:p>
        </w:tc>
        <w:tc>
          <w:tcPr>
            <w:tcW w:w="2808" w:type="dxa"/>
            <w:tcMar>
              <w:top w:w="70" w:type="dxa"/>
              <w:left w:w="85" w:type="dxa"/>
              <w:bottom w:w="70" w:type="dxa"/>
              <w:right w:w="85" w:type="dxa"/>
            </w:tcMar>
            <w:vAlign w:val="center"/>
          </w:tcPr>
          <w:p w14:paraId="6096C7A8" w14:textId="77777777" w:rsidR="003357E9" w:rsidRPr="00BA4F7F" w:rsidRDefault="00000000">
            <w:pPr>
              <w:spacing w:after="0"/>
            </w:pPr>
            <w:r w:rsidRPr="00BA4F7F">
              <w:rPr>
                <w:color w:val="1E1E1E"/>
                <w:sz w:val="14"/>
              </w:rPr>
              <w:t>niewystarczająca zdolność usuwania barier rodzinnych</w:t>
            </w:r>
          </w:p>
        </w:tc>
      </w:tr>
      <w:tr w:rsidR="003357E9" w:rsidRPr="00BA4F7F" w14:paraId="0FCE4A2E" w14:textId="77777777">
        <w:trPr>
          <w:cantSplit/>
          <w:jc w:val="center"/>
        </w:trPr>
        <w:tc>
          <w:tcPr>
            <w:tcW w:w="1800" w:type="dxa"/>
            <w:shd w:val="clear" w:color="auto" w:fill="EDF1F4"/>
            <w:tcMar>
              <w:top w:w="70" w:type="dxa"/>
              <w:left w:w="85" w:type="dxa"/>
              <w:bottom w:w="70" w:type="dxa"/>
              <w:right w:w="85" w:type="dxa"/>
            </w:tcMar>
            <w:vAlign w:val="center"/>
          </w:tcPr>
          <w:p w14:paraId="3E9419A6" w14:textId="77777777" w:rsidR="003357E9" w:rsidRPr="00BA4F7F" w:rsidRDefault="00000000">
            <w:pPr>
              <w:spacing w:after="0"/>
            </w:pPr>
            <w:r w:rsidRPr="00BA4F7F">
              <w:rPr>
                <w:color w:val="1E1E1E"/>
                <w:sz w:val="14"/>
              </w:rPr>
              <w:t>Integracja i kapitał społeczny</w:t>
            </w:r>
          </w:p>
        </w:tc>
        <w:tc>
          <w:tcPr>
            <w:tcW w:w="792" w:type="dxa"/>
            <w:shd w:val="clear" w:color="auto" w:fill="EDF1F4"/>
            <w:tcMar>
              <w:top w:w="70" w:type="dxa"/>
              <w:left w:w="85" w:type="dxa"/>
              <w:bottom w:w="70" w:type="dxa"/>
              <w:right w:w="85" w:type="dxa"/>
            </w:tcMar>
            <w:vAlign w:val="center"/>
          </w:tcPr>
          <w:p w14:paraId="52A8C268" w14:textId="77777777" w:rsidR="003357E9" w:rsidRPr="00BA4F7F" w:rsidRDefault="00000000">
            <w:pPr>
              <w:spacing w:after="0"/>
            </w:pPr>
            <w:r w:rsidRPr="00BA4F7F">
              <w:rPr>
                <w:color w:val="1E1E1E"/>
                <w:sz w:val="14"/>
              </w:rPr>
              <w:t>38,0</w:t>
            </w:r>
          </w:p>
        </w:tc>
        <w:tc>
          <w:tcPr>
            <w:tcW w:w="2160" w:type="dxa"/>
            <w:shd w:val="clear" w:color="auto" w:fill="EDF1F4"/>
            <w:tcMar>
              <w:top w:w="70" w:type="dxa"/>
              <w:left w:w="85" w:type="dxa"/>
              <w:bottom w:w="70" w:type="dxa"/>
              <w:right w:w="85" w:type="dxa"/>
            </w:tcMar>
            <w:vAlign w:val="center"/>
          </w:tcPr>
          <w:p w14:paraId="2F36E61A" w14:textId="77777777" w:rsidR="003357E9" w:rsidRPr="00BA4F7F" w:rsidRDefault="00000000">
            <w:pPr>
              <w:spacing w:after="0"/>
            </w:pPr>
            <w:r w:rsidRPr="00BA4F7F">
              <w:rPr>
                <w:color w:val="1E1E1E"/>
                <w:sz w:val="14"/>
              </w:rPr>
              <w:t>WYSOKIEGO RYZYKA; TRWAŁA SŁABOŚĆ</w:t>
            </w:r>
          </w:p>
        </w:tc>
        <w:tc>
          <w:tcPr>
            <w:tcW w:w="1944" w:type="dxa"/>
            <w:shd w:val="clear" w:color="auto" w:fill="EDF1F4"/>
            <w:tcMar>
              <w:top w:w="70" w:type="dxa"/>
              <w:left w:w="85" w:type="dxa"/>
              <w:bottom w:w="70" w:type="dxa"/>
              <w:right w:w="85" w:type="dxa"/>
            </w:tcMar>
            <w:vAlign w:val="center"/>
          </w:tcPr>
          <w:p w14:paraId="68263082" w14:textId="77777777" w:rsidR="003357E9" w:rsidRPr="00BA4F7F" w:rsidRDefault="00000000">
            <w:pPr>
              <w:spacing w:after="0"/>
            </w:pPr>
            <w:r w:rsidRPr="00BA4F7F">
              <w:rPr>
                <w:color w:val="1E1E1E"/>
                <w:sz w:val="14"/>
              </w:rPr>
              <w:t>Wynik poniżej 40 pkt.</w:t>
            </w:r>
          </w:p>
        </w:tc>
        <w:tc>
          <w:tcPr>
            <w:tcW w:w="2808" w:type="dxa"/>
            <w:shd w:val="clear" w:color="auto" w:fill="EDF1F4"/>
            <w:tcMar>
              <w:top w:w="70" w:type="dxa"/>
              <w:left w:w="85" w:type="dxa"/>
              <w:bottom w:w="70" w:type="dxa"/>
              <w:right w:w="85" w:type="dxa"/>
            </w:tcMar>
            <w:vAlign w:val="center"/>
          </w:tcPr>
          <w:p w14:paraId="1C1FECDB" w14:textId="77777777" w:rsidR="003357E9" w:rsidRPr="00BA4F7F" w:rsidRDefault="00000000">
            <w:pPr>
              <w:spacing w:after="0"/>
            </w:pPr>
            <w:r w:rsidRPr="00BA4F7F">
              <w:rPr>
                <w:color w:val="1E1E1E"/>
                <w:sz w:val="14"/>
              </w:rPr>
              <w:t>wyższy koszt koordynacji, reform i mobilizacji</w:t>
            </w:r>
          </w:p>
        </w:tc>
      </w:tr>
      <w:tr w:rsidR="003357E9" w:rsidRPr="00BA4F7F" w14:paraId="6CAB952B" w14:textId="77777777">
        <w:trPr>
          <w:cantSplit/>
          <w:jc w:val="center"/>
        </w:trPr>
        <w:tc>
          <w:tcPr>
            <w:tcW w:w="1800" w:type="dxa"/>
            <w:tcMar>
              <w:top w:w="70" w:type="dxa"/>
              <w:left w:w="85" w:type="dxa"/>
              <w:bottom w:w="70" w:type="dxa"/>
              <w:right w:w="85" w:type="dxa"/>
            </w:tcMar>
            <w:vAlign w:val="center"/>
          </w:tcPr>
          <w:p w14:paraId="78007829" w14:textId="77777777" w:rsidR="003357E9" w:rsidRPr="00BA4F7F" w:rsidRDefault="00000000">
            <w:pPr>
              <w:spacing w:after="0"/>
            </w:pPr>
            <w:r w:rsidRPr="00BA4F7F">
              <w:rPr>
                <w:color w:val="1E1E1E"/>
                <w:sz w:val="14"/>
              </w:rPr>
              <w:t>Ciągłość konstytucyjna</w:t>
            </w:r>
          </w:p>
        </w:tc>
        <w:tc>
          <w:tcPr>
            <w:tcW w:w="792" w:type="dxa"/>
            <w:tcMar>
              <w:top w:w="70" w:type="dxa"/>
              <w:left w:w="85" w:type="dxa"/>
              <w:bottom w:w="70" w:type="dxa"/>
              <w:right w:w="85" w:type="dxa"/>
            </w:tcMar>
            <w:vAlign w:val="center"/>
          </w:tcPr>
          <w:p w14:paraId="450EB89A" w14:textId="77777777" w:rsidR="003357E9" w:rsidRPr="00BA4F7F" w:rsidRDefault="00000000">
            <w:pPr>
              <w:spacing w:after="0"/>
            </w:pPr>
            <w:r w:rsidRPr="00BA4F7F">
              <w:rPr>
                <w:color w:val="1E1E1E"/>
                <w:sz w:val="14"/>
              </w:rPr>
              <w:t>16,7</w:t>
            </w:r>
          </w:p>
        </w:tc>
        <w:tc>
          <w:tcPr>
            <w:tcW w:w="2160" w:type="dxa"/>
            <w:tcMar>
              <w:top w:w="70" w:type="dxa"/>
              <w:left w:w="85" w:type="dxa"/>
              <w:bottom w:w="70" w:type="dxa"/>
              <w:right w:w="85" w:type="dxa"/>
            </w:tcMar>
            <w:vAlign w:val="center"/>
          </w:tcPr>
          <w:p w14:paraId="60CCC196" w14:textId="77777777" w:rsidR="003357E9" w:rsidRPr="00BA4F7F" w:rsidRDefault="00000000">
            <w:pPr>
              <w:spacing w:after="0"/>
            </w:pPr>
            <w:r w:rsidRPr="00BA4F7F">
              <w:rPr>
                <w:color w:val="1E1E1E"/>
                <w:sz w:val="14"/>
              </w:rPr>
              <w:t>KRYTYCZNY; POGORSZENIE STRUKTURALNE; TRWAŁA SŁABOŚĆ</w:t>
            </w:r>
          </w:p>
        </w:tc>
        <w:tc>
          <w:tcPr>
            <w:tcW w:w="1944" w:type="dxa"/>
            <w:tcMar>
              <w:top w:w="70" w:type="dxa"/>
              <w:left w:w="85" w:type="dxa"/>
              <w:bottom w:w="70" w:type="dxa"/>
              <w:right w:w="85" w:type="dxa"/>
            </w:tcMar>
            <w:vAlign w:val="center"/>
          </w:tcPr>
          <w:p w14:paraId="2A2B88EF" w14:textId="77777777" w:rsidR="003357E9" w:rsidRPr="00BA4F7F" w:rsidRDefault="00000000">
            <w:pPr>
              <w:spacing w:after="0"/>
            </w:pPr>
            <w:r w:rsidRPr="00BA4F7F">
              <w:rPr>
                <w:color w:val="1E1E1E"/>
                <w:sz w:val="14"/>
              </w:rPr>
              <w:t>Wynik poniżej 20 pkt.</w:t>
            </w:r>
          </w:p>
        </w:tc>
        <w:tc>
          <w:tcPr>
            <w:tcW w:w="2808" w:type="dxa"/>
            <w:tcMar>
              <w:top w:w="70" w:type="dxa"/>
              <w:left w:w="85" w:type="dxa"/>
              <w:bottom w:w="70" w:type="dxa"/>
              <w:right w:w="85" w:type="dxa"/>
            </w:tcMar>
            <w:vAlign w:val="center"/>
          </w:tcPr>
          <w:p w14:paraId="633112D0" w14:textId="77777777" w:rsidR="003357E9" w:rsidRPr="00BA4F7F" w:rsidRDefault="00000000">
            <w:pPr>
              <w:spacing w:after="0"/>
            </w:pPr>
            <w:r w:rsidRPr="00BA4F7F">
              <w:rPr>
                <w:color w:val="1E1E1E"/>
                <w:sz w:val="14"/>
              </w:rPr>
              <w:t>deficyt wspólnej finalności i uznawanej legalności</w:t>
            </w:r>
          </w:p>
        </w:tc>
      </w:tr>
      <w:tr w:rsidR="003357E9" w:rsidRPr="00BA4F7F" w14:paraId="2A063BDA" w14:textId="77777777">
        <w:trPr>
          <w:cantSplit/>
          <w:jc w:val="center"/>
        </w:trPr>
        <w:tc>
          <w:tcPr>
            <w:tcW w:w="1800" w:type="dxa"/>
            <w:shd w:val="clear" w:color="auto" w:fill="EDF1F4"/>
            <w:tcMar>
              <w:top w:w="70" w:type="dxa"/>
              <w:left w:w="85" w:type="dxa"/>
              <w:bottom w:w="70" w:type="dxa"/>
              <w:right w:w="85" w:type="dxa"/>
            </w:tcMar>
            <w:vAlign w:val="center"/>
          </w:tcPr>
          <w:p w14:paraId="0D868A23" w14:textId="77777777" w:rsidR="003357E9" w:rsidRPr="00BA4F7F" w:rsidRDefault="00000000">
            <w:pPr>
              <w:spacing w:after="0"/>
            </w:pPr>
            <w:r w:rsidRPr="00BA4F7F">
              <w:rPr>
                <w:color w:val="1E1E1E"/>
                <w:sz w:val="14"/>
              </w:rPr>
              <w:t>Sprawność instytucjonalna</w:t>
            </w:r>
          </w:p>
        </w:tc>
        <w:tc>
          <w:tcPr>
            <w:tcW w:w="792" w:type="dxa"/>
            <w:shd w:val="clear" w:color="auto" w:fill="EDF1F4"/>
            <w:tcMar>
              <w:top w:w="70" w:type="dxa"/>
              <w:left w:w="85" w:type="dxa"/>
              <w:bottom w:w="70" w:type="dxa"/>
              <w:right w:w="85" w:type="dxa"/>
            </w:tcMar>
            <w:vAlign w:val="center"/>
          </w:tcPr>
          <w:p w14:paraId="7D6E0966" w14:textId="77777777" w:rsidR="003357E9" w:rsidRPr="00BA4F7F" w:rsidRDefault="00000000">
            <w:pPr>
              <w:spacing w:after="0"/>
            </w:pPr>
            <w:r w:rsidRPr="00BA4F7F">
              <w:rPr>
                <w:color w:val="1E1E1E"/>
                <w:sz w:val="14"/>
              </w:rPr>
              <w:t>43,3</w:t>
            </w:r>
          </w:p>
        </w:tc>
        <w:tc>
          <w:tcPr>
            <w:tcW w:w="2160" w:type="dxa"/>
            <w:shd w:val="clear" w:color="auto" w:fill="EDF1F4"/>
            <w:tcMar>
              <w:top w:w="70" w:type="dxa"/>
              <w:left w:w="85" w:type="dxa"/>
              <w:bottom w:w="70" w:type="dxa"/>
              <w:right w:w="85" w:type="dxa"/>
            </w:tcMar>
            <w:vAlign w:val="center"/>
          </w:tcPr>
          <w:p w14:paraId="016B801A" w14:textId="77777777" w:rsidR="003357E9" w:rsidRPr="00BA4F7F" w:rsidRDefault="00000000">
            <w:pPr>
              <w:spacing w:after="0"/>
            </w:pPr>
            <w:r w:rsidRPr="00BA4F7F">
              <w:rPr>
                <w:color w:val="1E1E1E"/>
                <w:sz w:val="14"/>
              </w:rPr>
              <w:t>POGORSZENIE STRUKTURALNE; TRWAŁA SŁABOŚĆ</w:t>
            </w:r>
          </w:p>
        </w:tc>
        <w:tc>
          <w:tcPr>
            <w:tcW w:w="1944" w:type="dxa"/>
            <w:shd w:val="clear" w:color="auto" w:fill="EDF1F4"/>
            <w:tcMar>
              <w:top w:w="70" w:type="dxa"/>
              <w:left w:w="85" w:type="dxa"/>
              <w:bottom w:w="70" w:type="dxa"/>
              <w:right w:w="85" w:type="dxa"/>
            </w:tcMar>
            <w:vAlign w:val="center"/>
          </w:tcPr>
          <w:p w14:paraId="141E043E" w14:textId="77777777" w:rsidR="003357E9" w:rsidRPr="00BA4F7F" w:rsidRDefault="00000000">
            <w:pPr>
              <w:spacing w:after="0"/>
            </w:pPr>
            <w:r w:rsidRPr="00BA4F7F">
              <w:rPr>
                <w:color w:val="1E1E1E"/>
                <w:sz w:val="14"/>
              </w:rPr>
              <w:t>Spadek 3-letni przy co najmniej dwóch latach pogorszenia.</w:t>
            </w:r>
          </w:p>
        </w:tc>
        <w:tc>
          <w:tcPr>
            <w:tcW w:w="2808" w:type="dxa"/>
            <w:shd w:val="clear" w:color="auto" w:fill="EDF1F4"/>
            <w:tcMar>
              <w:top w:w="70" w:type="dxa"/>
              <w:left w:w="85" w:type="dxa"/>
              <w:bottom w:w="70" w:type="dxa"/>
              <w:right w:w="85" w:type="dxa"/>
            </w:tcMar>
            <w:vAlign w:val="center"/>
          </w:tcPr>
          <w:p w14:paraId="5E958B1A" w14:textId="77777777" w:rsidR="003357E9" w:rsidRPr="00BA4F7F" w:rsidRDefault="00000000">
            <w:pPr>
              <w:spacing w:after="0"/>
            </w:pPr>
            <w:r w:rsidRPr="00BA4F7F">
              <w:rPr>
                <w:color w:val="1E1E1E"/>
                <w:sz w:val="14"/>
              </w:rPr>
              <w:t>słabsze domykanie polityk międzyresortowych</w:t>
            </w:r>
          </w:p>
        </w:tc>
      </w:tr>
      <w:tr w:rsidR="003357E9" w:rsidRPr="00BA4F7F" w14:paraId="650829CE" w14:textId="77777777">
        <w:trPr>
          <w:cantSplit/>
          <w:jc w:val="center"/>
        </w:trPr>
        <w:tc>
          <w:tcPr>
            <w:tcW w:w="1800" w:type="dxa"/>
            <w:tcMar>
              <w:top w:w="70" w:type="dxa"/>
              <w:left w:w="85" w:type="dxa"/>
              <w:bottom w:w="70" w:type="dxa"/>
              <w:right w:w="85" w:type="dxa"/>
            </w:tcMar>
            <w:vAlign w:val="center"/>
          </w:tcPr>
          <w:p w14:paraId="4C32DC6E" w14:textId="77777777" w:rsidR="003357E9" w:rsidRPr="00BA4F7F" w:rsidRDefault="00000000">
            <w:pPr>
              <w:spacing w:after="0"/>
            </w:pPr>
            <w:r w:rsidRPr="00BA4F7F">
              <w:rPr>
                <w:color w:val="1E1E1E"/>
                <w:sz w:val="14"/>
              </w:rPr>
              <w:t>Stabilność i egzekwowalność prawa</w:t>
            </w:r>
          </w:p>
        </w:tc>
        <w:tc>
          <w:tcPr>
            <w:tcW w:w="792" w:type="dxa"/>
            <w:tcMar>
              <w:top w:w="70" w:type="dxa"/>
              <w:left w:w="85" w:type="dxa"/>
              <w:bottom w:w="70" w:type="dxa"/>
              <w:right w:w="85" w:type="dxa"/>
            </w:tcMar>
            <w:vAlign w:val="center"/>
          </w:tcPr>
          <w:p w14:paraId="563F57AE" w14:textId="77777777" w:rsidR="003357E9" w:rsidRPr="00BA4F7F" w:rsidRDefault="00000000">
            <w:pPr>
              <w:spacing w:after="0"/>
            </w:pPr>
            <w:r w:rsidRPr="00BA4F7F">
              <w:rPr>
                <w:color w:val="1E1E1E"/>
                <w:sz w:val="14"/>
              </w:rPr>
              <w:t>40,0</w:t>
            </w:r>
          </w:p>
        </w:tc>
        <w:tc>
          <w:tcPr>
            <w:tcW w:w="2160" w:type="dxa"/>
            <w:tcMar>
              <w:top w:w="70" w:type="dxa"/>
              <w:left w:w="85" w:type="dxa"/>
              <w:bottom w:w="70" w:type="dxa"/>
              <w:right w:w="85" w:type="dxa"/>
            </w:tcMar>
            <w:vAlign w:val="center"/>
          </w:tcPr>
          <w:p w14:paraId="57138161" w14:textId="77777777" w:rsidR="003357E9" w:rsidRPr="00BA4F7F" w:rsidRDefault="00000000">
            <w:pPr>
              <w:spacing w:after="0"/>
            </w:pPr>
            <w:r w:rsidRPr="00BA4F7F">
              <w:rPr>
                <w:color w:val="1E1E1E"/>
                <w:sz w:val="14"/>
              </w:rPr>
              <w:t>TRWAŁA SŁABOŚĆ</w:t>
            </w:r>
          </w:p>
        </w:tc>
        <w:tc>
          <w:tcPr>
            <w:tcW w:w="1944" w:type="dxa"/>
            <w:tcMar>
              <w:top w:w="70" w:type="dxa"/>
              <w:left w:w="85" w:type="dxa"/>
              <w:bottom w:w="70" w:type="dxa"/>
              <w:right w:w="85" w:type="dxa"/>
            </w:tcMar>
            <w:vAlign w:val="center"/>
          </w:tcPr>
          <w:p w14:paraId="225757E8" w14:textId="77777777" w:rsidR="003357E9" w:rsidRPr="00BA4F7F" w:rsidRDefault="00000000">
            <w:pPr>
              <w:spacing w:after="0"/>
            </w:pPr>
            <w:r w:rsidRPr="00BA4F7F">
              <w:rPr>
                <w:color w:val="1E1E1E"/>
                <w:sz w:val="14"/>
              </w:rPr>
              <w:t>Trzy lata poniżej 50 pkt.</w:t>
            </w:r>
          </w:p>
        </w:tc>
        <w:tc>
          <w:tcPr>
            <w:tcW w:w="2808" w:type="dxa"/>
            <w:tcMar>
              <w:top w:w="70" w:type="dxa"/>
              <w:left w:w="85" w:type="dxa"/>
              <w:bottom w:w="70" w:type="dxa"/>
              <w:right w:w="85" w:type="dxa"/>
            </w:tcMar>
            <w:vAlign w:val="center"/>
          </w:tcPr>
          <w:p w14:paraId="0BD427D1" w14:textId="77777777" w:rsidR="003357E9" w:rsidRPr="00BA4F7F" w:rsidRDefault="00000000">
            <w:pPr>
              <w:spacing w:after="0"/>
            </w:pPr>
            <w:r w:rsidRPr="00BA4F7F">
              <w:rPr>
                <w:color w:val="1E1E1E"/>
                <w:sz w:val="14"/>
              </w:rPr>
              <w:t>utrwalony krótki horyzont decyzji i słabsze zaufanie</w:t>
            </w:r>
          </w:p>
        </w:tc>
      </w:tr>
      <w:tr w:rsidR="003357E9" w:rsidRPr="00BA4F7F" w14:paraId="1B5464B7" w14:textId="77777777">
        <w:trPr>
          <w:cantSplit/>
          <w:jc w:val="center"/>
        </w:trPr>
        <w:tc>
          <w:tcPr>
            <w:tcW w:w="1800" w:type="dxa"/>
            <w:shd w:val="clear" w:color="auto" w:fill="EDF1F4"/>
            <w:tcMar>
              <w:top w:w="70" w:type="dxa"/>
              <w:left w:w="85" w:type="dxa"/>
              <w:bottom w:w="70" w:type="dxa"/>
              <w:right w:w="85" w:type="dxa"/>
            </w:tcMar>
            <w:vAlign w:val="center"/>
          </w:tcPr>
          <w:p w14:paraId="0538BC79" w14:textId="77777777" w:rsidR="003357E9" w:rsidRPr="00BA4F7F" w:rsidRDefault="00000000">
            <w:pPr>
              <w:spacing w:after="0"/>
            </w:pPr>
            <w:r w:rsidRPr="00BA4F7F">
              <w:rPr>
                <w:color w:val="1E1E1E"/>
                <w:sz w:val="14"/>
              </w:rPr>
              <w:t>Zmiany regulacyjne</w:t>
            </w:r>
          </w:p>
        </w:tc>
        <w:tc>
          <w:tcPr>
            <w:tcW w:w="792" w:type="dxa"/>
            <w:shd w:val="clear" w:color="auto" w:fill="EDF1F4"/>
            <w:tcMar>
              <w:top w:w="70" w:type="dxa"/>
              <w:left w:w="85" w:type="dxa"/>
              <w:bottom w:w="70" w:type="dxa"/>
              <w:right w:w="85" w:type="dxa"/>
            </w:tcMar>
            <w:vAlign w:val="center"/>
          </w:tcPr>
          <w:p w14:paraId="6CA3325D" w14:textId="77777777" w:rsidR="003357E9" w:rsidRPr="00BA4F7F" w:rsidRDefault="00000000">
            <w:pPr>
              <w:spacing w:after="0"/>
            </w:pPr>
            <w:r w:rsidRPr="00BA4F7F">
              <w:rPr>
                <w:color w:val="1E1E1E"/>
                <w:sz w:val="14"/>
              </w:rPr>
              <w:t>38,8</w:t>
            </w:r>
          </w:p>
        </w:tc>
        <w:tc>
          <w:tcPr>
            <w:tcW w:w="2160" w:type="dxa"/>
            <w:shd w:val="clear" w:color="auto" w:fill="EDF1F4"/>
            <w:tcMar>
              <w:top w:w="70" w:type="dxa"/>
              <w:left w:w="85" w:type="dxa"/>
              <w:bottom w:w="70" w:type="dxa"/>
              <w:right w:w="85" w:type="dxa"/>
            </w:tcMar>
            <w:vAlign w:val="center"/>
          </w:tcPr>
          <w:p w14:paraId="4BD013C5" w14:textId="77777777" w:rsidR="003357E9" w:rsidRPr="00BA4F7F" w:rsidRDefault="00000000">
            <w:pPr>
              <w:spacing w:after="0"/>
            </w:pPr>
            <w:r w:rsidRPr="00BA4F7F">
              <w:rPr>
                <w:color w:val="1E1E1E"/>
                <w:sz w:val="14"/>
              </w:rPr>
              <w:t>WYSOKIEGO RYZYKA; POGORSZENIE STRUKTURALNE</w:t>
            </w:r>
          </w:p>
        </w:tc>
        <w:tc>
          <w:tcPr>
            <w:tcW w:w="1944" w:type="dxa"/>
            <w:shd w:val="clear" w:color="auto" w:fill="EDF1F4"/>
            <w:tcMar>
              <w:top w:w="70" w:type="dxa"/>
              <w:left w:w="85" w:type="dxa"/>
              <w:bottom w:w="70" w:type="dxa"/>
              <w:right w:w="85" w:type="dxa"/>
            </w:tcMar>
            <w:vAlign w:val="center"/>
          </w:tcPr>
          <w:p w14:paraId="08933B52" w14:textId="77777777" w:rsidR="003357E9" w:rsidRPr="00BA4F7F" w:rsidRDefault="00000000">
            <w:pPr>
              <w:spacing w:after="0"/>
            </w:pPr>
            <w:r w:rsidRPr="00BA4F7F">
              <w:rPr>
                <w:color w:val="1E1E1E"/>
                <w:sz w:val="14"/>
              </w:rPr>
              <w:t>Wynik poniżej 40 pkt.</w:t>
            </w:r>
          </w:p>
        </w:tc>
        <w:tc>
          <w:tcPr>
            <w:tcW w:w="2808" w:type="dxa"/>
            <w:shd w:val="clear" w:color="auto" w:fill="EDF1F4"/>
            <w:tcMar>
              <w:top w:w="70" w:type="dxa"/>
              <w:left w:w="85" w:type="dxa"/>
              <w:bottom w:w="70" w:type="dxa"/>
              <w:right w:w="85" w:type="dxa"/>
            </w:tcMar>
            <w:vAlign w:val="center"/>
          </w:tcPr>
          <w:p w14:paraId="13576899" w14:textId="77777777" w:rsidR="003357E9" w:rsidRPr="00BA4F7F" w:rsidRDefault="00000000">
            <w:pPr>
              <w:spacing w:after="0"/>
            </w:pPr>
            <w:r w:rsidRPr="00BA4F7F">
              <w:rPr>
                <w:color w:val="1E1E1E"/>
                <w:sz w:val="14"/>
              </w:rPr>
              <w:t>koszt obowiązków bez pełnego wdrożenia i efektu</w:t>
            </w:r>
          </w:p>
        </w:tc>
      </w:tr>
    </w:tbl>
    <w:p w14:paraId="0FA87DA0" w14:textId="77777777" w:rsidR="003357E9" w:rsidRPr="00BA4F7F" w:rsidRDefault="00000000">
      <w:pPr>
        <w:pStyle w:val="Nagwek2"/>
      </w:pPr>
      <w:r w:rsidRPr="00BA4F7F">
        <w:t>14B.1. Jak działa system alertów</w:t>
      </w:r>
    </w:p>
    <w:p w14:paraId="4DE81EFE" w14:textId="77777777" w:rsidR="003357E9" w:rsidRPr="00BA4F7F" w:rsidRDefault="00000000">
      <w:r w:rsidRPr="00BA4F7F">
        <w:t>System rozdziela trzy pytania: czy poziom jest skrajnie niski, czy sytuacja gwałtownie się pogarsza oraz czy osłabienie utrzymuje się na tyle długo, że nie można go wyjaśnić pojedynczym zdarzeniem. Rok 2020 pozostaje początkiem szeregu i służy do opisu długiej zmiany, ale nie jest automatycznym benchmarkiem normatywnym. Formalne pogorszenie strukturalne w edycji 2025 jest liczone w ruchomym oknie 2022–2025.</w:t>
      </w:r>
    </w:p>
    <w:tbl>
      <w:tblPr>
        <w:tblStyle w:val="Tabela-Siatka"/>
        <w:tblW w:w="0" w:type="auto"/>
        <w:jc w:val="center"/>
        <w:tblLook w:val="04A0" w:firstRow="1" w:lastRow="0" w:firstColumn="1" w:lastColumn="0" w:noHBand="0" w:noVBand="1"/>
      </w:tblPr>
      <w:tblGrid>
        <w:gridCol w:w="2232"/>
        <w:gridCol w:w="3240"/>
        <w:gridCol w:w="4032"/>
      </w:tblGrid>
      <w:tr w:rsidR="003357E9" w:rsidRPr="00BA4F7F" w14:paraId="1284F1C1" w14:textId="77777777">
        <w:trPr>
          <w:cantSplit/>
          <w:tblHeader/>
          <w:jc w:val="center"/>
        </w:trPr>
        <w:tc>
          <w:tcPr>
            <w:tcW w:w="2232" w:type="dxa"/>
            <w:shd w:val="clear" w:color="auto" w:fill="238C8C"/>
            <w:tcMar>
              <w:top w:w="70" w:type="dxa"/>
              <w:left w:w="85" w:type="dxa"/>
              <w:bottom w:w="70" w:type="dxa"/>
              <w:right w:w="85" w:type="dxa"/>
            </w:tcMar>
            <w:vAlign w:val="center"/>
          </w:tcPr>
          <w:p w14:paraId="5CF9D522" w14:textId="77777777" w:rsidR="003357E9" w:rsidRPr="00BA4F7F" w:rsidRDefault="00000000">
            <w:pPr>
              <w:spacing w:after="0"/>
              <w:jc w:val="center"/>
            </w:pPr>
            <w:r w:rsidRPr="00BA4F7F">
              <w:rPr>
                <w:b/>
                <w:color w:val="FFFFFF"/>
                <w:sz w:val="15"/>
              </w:rPr>
              <w:t>Mechanizm</w:t>
            </w:r>
          </w:p>
        </w:tc>
        <w:tc>
          <w:tcPr>
            <w:tcW w:w="3240" w:type="dxa"/>
            <w:shd w:val="clear" w:color="auto" w:fill="238C8C"/>
            <w:tcMar>
              <w:top w:w="70" w:type="dxa"/>
              <w:left w:w="85" w:type="dxa"/>
              <w:bottom w:w="70" w:type="dxa"/>
              <w:right w:w="85" w:type="dxa"/>
            </w:tcMar>
            <w:vAlign w:val="center"/>
          </w:tcPr>
          <w:p w14:paraId="7772518A" w14:textId="77777777" w:rsidR="003357E9" w:rsidRPr="00BA4F7F" w:rsidRDefault="00000000">
            <w:pPr>
              <w:spacing w:after="0"/>
              <w:jc w:val="center"/>
            </w:pPr>
            <w:r w:rsidRPr="00BA4F7F">
              <w:rPr>
                <w:b/>
                <w:color w:val="FFFFFF"/>
                <w:sz w:val="15"/>
              </w:rPr>
              <w:t>Warunek</w:t>
            </w:r>
          </w:p>
        </w:tc>
        <w:tc>
          <w:tcPr>
            <w:tcW w:w="4032" w:type="dxa"/>
            <w:shd w:val="clear" w:color="auto" w:fill="238C8C"/>
            <w:tcMar>
              <w:top w:w="70" w:type="dxa"/>
              <w:left w:w="85" w:type="dxa"/>
              <w:bottom w:w="70" w:type="dxa"/>
              <w:right w:w="85" w:type="dxa"/>
            </w:tcMar>
            <w:vAlign w:val="center"/>
          </w:tcPr>
          <w:p w14:paraId="77AF1351" w14:textId="77777777" w:rsidR="003357E9" w:rsidRPr="00BA4F7F" w:rsidRDefault="00000000">
            <w:pPr>
              <w:spacing w:after="0"/>
              <w:jc w:val="center"/>
            </w:pPr>
            <w:r w:rsidRPr="00BA4F7F">
              <w:rPr>
                <w:b/>
                <w:color w:val="FFFFFF"/>
                <w:sz w:val="15"/>
              </w:rPr>
              <w:t>Interpretacja</w:t>
            </w:r>
          </w:p>
        </w:tc>
      </w:tr>
      <w:tr w:rsidR="003357E9" w:rsidRPr="00BA4F7F" w14:paraId="6D8DC4D5" w14:textId="77777777">
        <w:trPr>
          <w:cantSplit/>
          <w:jc w:val="center"/>
        </w:trPr>
        <w:tc>
          <w:tcPr>
            <w:tcW w:w="2232" w:type="dxa"/>
            <w:tcMar>
              <w:top w:w="70" w:type="dxa"/>
              <w:left w:w="85" w:type="dxa"/>
              <w:bottom w:w="70" w:type="dxa"/>
              <w:right w:w="85" w:type="dxa"/>
            </w:tcMar>
            <w:vAlign w:val="center"/>
          </w:tcPr>
          <w:p w14:paraId="113B3F2D" w14:textId="77777777" w:rsidR="003357E9" w:rsidRPr="00BA4F7F" w:rsidRDefault="00000000">
            <w:pPr>
              <w:spacing w:after="0"/>
            </w:pPr>
            <w:r w:rsidRPr="00BA4F7F">
              <w:rPr>
                <w:color w:val="1E1E1E"/>
                <w:sz w:val="15"/>
              </w:rPr>
              <w:t>Krytyczny</w:t>
            </w:r>
          </w:p>
        </w:tc>
        <w:tc>
          <w:tcPr>
            <w:tcW w:w="3240" w:type="dxa"/>
            <w:tcMar>
              <w:top w:w="70" w:type="dxa"/>
              <w:left w:w="85" w:type="dxa"/>
              <w:bottom w:w="70" w:type="dxa"/>
              <w:right w:w="85" w:type="dxa"/>
            </w:tcMar>
            <w:vAlign w:val="center"/>
          </w:tcPr>
          <w:p w14:paraId="28F34E75" w14:textId="77777777" w:rsidR="003357E9" w:rsidRPr="00BA4F7F" w:rsidRDefault="00000000">
            <w:pPr>
              <w:spacing w:after="0"/>
            </w:pPr>
            <w:proofErr w:type="spellStart"/>
            <w:r w:rsidRPr="00BA4F7F">
              <w:rPr>
                <w:color w:val="1E1E1E"/>
                <w:sz w:val="15"/>
              </w:rPr>
              <w:t>subobszar</w:t>
            </w:r>
            <w:proofErr w:type="spellEnd"/>
            <w:r w:rsidRPr="00BA4F7F">
              <w:rPr>
                <w:color w:val="1E1E1E"/>
                <w:sz w:val="15"/>
              </w:rPr>
              <w:t xml:space="preserve"> &lt;20 pkt</w:t>
            </w:r>
          </w:p>
        </w:tc>
        <w:tc>
          <w:tcPr>
            <w:tcW w:w="4032" w:type="dxa"/>
            <w:tcMar>
              <w:top w:w="70" w:type="dxa"/>
              <w:left w:w="85" w:type="dxa"/>
              <w:bottom w:w="70" w:type="dxa"/>
              <w:right w:w="85" w:type="dxa"/>
            </w:tcMar>
            <w:vAlign w:val="center"/>
          </w:tcPr>
          <w:p w14:paraId="19159F52" w14:textId="77777777" w:rsidR="003357E9" w:rsidRPr="00BA4F7F" w:rsidRDefault="00000000">
            <w:pPr>
              <w:spacing w:after="0"/>
            </w:pPr>
            <w:r w:rsidRPr="00BA4F7F">
              <w:rPr>
                <w:color w:val="1E1E1E"/>
                <w:sz w:val="15"/>
              </w:rPr>
              <w:t>słabość skrajna; wymaga pilnej i odrębnej odpowiedzi</w:t>
            </w:r>
          </w:p>
        </w:tc>
      </w:tr>
      <w:tr w:rsidR="003357E9" w:rsidRPr="00BA4F7F" w14:paraId="26863D7C" w14:textId="77777777">
        <w:trPr>
          <w:cantSplit/>
          <w:jc w:val="center"/>
        </w:trPr>
        <w:tc>
          <w:tcPr>
            <w:tcW w:w="2232" w:type="dxa"/>
            <w:shd w:val="clear" w:color="auto" w:fill="EDF1F4"/>
            <w:tcMar>
              <w:top w:w="70" w:type="dxa"/>
              <w:left w:w="85" w:type="dxa"/>
              <w:bottom w:w="70" w:type="dxa"/>
              <w:right w:w="85" w:type="dxa"/>
            </w:tcMar>
            <w:vAlign w:val="center"/>
          </w:tcPr>
          <w:p w14:paraId="72C51A7C" w14:textId="77777777" w:rsidR="003357E9" w:rsidRPr="00BA4F7F" w:rsidRDefault="00000000">
            <w:pPr>
              <w:spacing w:after="0"/>
            </w:pPr>
            <w:r w:rsidRPr="00BA4F7F">
              <w:rPr>
                <w:color w:val="1E1E1E"/>
                <w:sz w:val="15"/>
              </w:rPr>
              <w:t>Wysokiego ryzyka</w:t>
            </w:r>
          </w:p>
        </w:tc>
        <w:tc>
          <w:tcPr>
            <w:tcW w:w="3240" w:type="dxa"/>
            <w:shd w:val="clear" w:color="auto" w:fill="EDF1F4"/>
            <w:tcMar>
              <w:top w:w="70" w:type="dxa"/>
              <w:left w:w="85" w:type="dxa"/>
              <w:bottom w:w="70" w:type="dxa"/>
              <w:right w:w="85" w:type="dxa"/>
            </w:tcMar>
            <w:vAlign w:val="center"/>
          </w:tcPr>
          <w:p w14:paraId="0E95F1AC" w14:textId="77777777" w:rsidR="003357E9" w:rsidRPr="00BA4F7F" w:rsidRDefault="00000000">
            <w:pPr>
              <w:spacing w:after="0"/>
            </w:pPr>
            <w:proofErr w:type="spellStart"/>
            <w:r w:rsidRPr="00BA4F7F">
              <w:rPr>
                <w:color w:val="1E1E1E"/>
                <w:sz w:val="15"/>
              </w:rPr>
              <w:t>subobszar</w:t>
            </w:r>
            <w:proofErr w:type="spellEnd"/>
            <w:r w:rsidRPr="00BA4F7F">
              <w:rPr>
                <w:color w:val="1E1E1E"/>
                <w:sz w:val="15"/>
              </w:rPr>
              <w:t xml:space="preserve"> lub </w:t>
            </w:r>
            <w:proofErr w:type="spellStart"/>
            <w:r w:rsidRPr="00BA4F7F">
              <w:rPr>
                <w:color w:val="1E1E1E"/>
                <w:sz w:val="15"/>
              </w:rPr>
              <w:t>subindeks</w:t>
            </w:r>
            <w:proofErr w:type="spellEnd"/>
            <w:r w:rsidRPr="00BA4F7F">
              <w:rPr>
                <w:color w:val="1E1E1E"/>
                <w:sz w:val="15"/>
              </w:rPr>
              <w:t xml:space="preserve"> &lt;40 pkt</w:t>
            </w:r>
          </w:p>
        </w:tc>
        <w:tc>
          <w:tcPr>
            <w:tcW w:w="4032" w:type="dxa"/>
            <w:shd w:val="clear" w:color="auto" w:fill="EDF1F4"/>
            <w:tcMar>
              <w:top w:w="70" w:type="dxa"/>
              <w:left w:w="85" w:type="dxa"/>
              <w:bottom w:w="70" w:type="dxa"/>
              <w:right w:w="85" w:type="dxa"/>
            </w:tcMar>
            <w:vAlign w:val="center"/>
          </w:tcPr>
          <w:p w14:paraId="2965193F" w14:textId="77777777" w:rsidR="003357E9" w:rsidRPr="00BA4F7F" w:rsidRDefault="00000000">
            <w:pPr>
              <w:spacing w:after="0"/>
            </w:pPr>
            <w:r w:rsidRPr="00BA4F7F">
              <w:rPr>
                <w:color w:val="1E1E1E"/>
                <w:sz w:val="15"/>
              </w:rPr>
              <w:t>poziom istotnie ogranicza zdolności państwa</w:t>
            </w:r>
          </w:p>
        </w:tc>
      </w:tr>
      <w:tr w:rsidR="003357E9" w:rsidRPr="00BA4F7F" w14:paraId="13ABD3FF" w14:textId="77777777">
        <w:trPr>
          <w:cantSplit/>
          <w:jc w:val="center"/>
        </w:trPr>
        <w:tc>
          <w:tcPr>
            <w:tcW w:w="2232" w:type="dxa"/>
            <w:tcMar>
              <w:top w:w="70" w:type="dxa"/>
              <w:left w:w="85" w:type="dxa"/>
              <w:bottom w:w="70" w:type="dxa"/>
              <w:right w:w="85" w:type="dxa"/>
            </w:tcMar>
            <w:vAlign w:val="center"/>
          </w:tcPr>
          <w:p w14:paraId="06F18F59" w14:textId="77777777" w:rsidR="003357E9" w:rsidRPr="00BA4F7F" w:rsidRDefault="00000000">
            <w:pPr>
              <w:spacing w:after="0"/>
            </w:pPr>
            <w:r w:rsidRPr="00BA4F7F">
              <w:rPr>
                <w:color w:val="1E1E1E"/>
                <w:sz w:val="15"/>
              </w:rPr>
              <w:t>Utrwalonego wysokiego ryzyka</w:t>
            </w:r>
          </w:p>
        </w:tc>
        <w:tc>
          <w:tcPr>
            <w:tcW w:w="3240" w:type="dxa"/>
            <w:tcMar>
              <w:top w:w="70" w:type="dxa"/>
              <w:left w:w="85" w:type="dxa"/>
              <w:bottom w:w="70" w:type="dxa"/>
              <w:right w:w="85" w:type="dxa"/>
            </w:tcMar>
            <w:vAlign w:val="center"/>
          </w:tcPr>
          <w:p w14:paraId="7C14FFE0" w14:textId="77777777" w:rsidR="003357E9" w:rsidRPr="00BA4F7F" w:rsidRDefault="00000000">
            <w:pPr>
              <w:spacing w:after="0"/>
            </w:pPr>
            <w:proofErr w:type="spellStart"/>
            <w:r w:rsidRPr="00BA4F7F">
              <w:rPr>
                <w:color w:val="1E1E1E"/>
                <w:sz w:val="15"/>
              </w:rPr>
              <w:t>subindeks</w:t>
            </w:r>
            <w:proofErr w:type="spellEnd"/>
            <w:r w:rsidRPr="00BA4F7F">
              <w:rPr>
                <w:color w:val="1E1E1E"/>
                <w:sz w:val="15"/>
              </w:rPr>
              <w:t xml:space="preserve"> &lt;45 pkt przez 2 lata</w:t>
            </w:r>
          </w:p>
        </w:tc>
        <w:tc>
          <w:tcPr>
            <w:tcW w:w="4032" w:type="dxa"/>
            <w:tcMar>
              <w:top w:w="70" w:type="dxa"/>
              <w:left w:w="85" w:type="dxa"/>
              <w:bottom w:w="70" w:type="dxa"/>
              <w:right w:w="85" w:type="dxa"/>
            </w:tcMar>
            <w:vAlign w:val="center"/>
          </w:tcPr>
          <w:p w14:paraId="4CA93D91" w14:textId="77777777" w:rsidR="003357E9" w:rsidRPr="00BA4F7F" w:rsidRDefault="00000000">
            <w:pPr>
              <w:spacing w:after="0"/>
            </w:pPr>
            <w:r w:rsidRPr="00BA4F7F">
              <w:rPr>
                <w:color w:val="1E1E1E"/>
                <w:sz w:val="15"/>
              </w:rPr>
              <w:t>jednoroczne odbicie nie dowodzi rozwiązania problemu</w:t>
            </w:r>
          </w:p>
        </w:tc>
      </w:tr>
      <w:tr w:rsidR="003357E9" w:rsidRPr="00BA4F7F" w14:paraId="5FC68629" w14:textId="77777777">
        <w:trPr>
          <w:cantSplit/>
          <w:jc w:val="center"/>
        </w:trPr>
        <w:tc>
          <w:tcPr>
            <w:tcW w:w="2232" w:type="dxa"/>
            <w:shd w:val="clear" w:color="auto" w:fill="EDF1F4"/>
            <w:tcMar>
              <w:top w:w="70" w:type="dxa"/>
              <w:left w:w="85" w:type="dxa"/>
              <w:bottom w:w="70" w:type="dxa"/>
              <w:right w:w="85" w:type="dxa"/>
            </w:tcMar>
            <w:vAlign w:val="center"/>
          </w:tcPr>
          <w:p w14:paraId="41F09BD4" w14:textId="77777777" w:rsidR="003357E9" w:rsidRPr="00BA4F7F" w:rsidRDefault="00000000">
            <w:pPr>
              <w:spacing w:after="0"/>
            </w:pPr>
            <w:r w:rsidRPr="00BA4F7F">
              <w:rPr>
                <w:color w:val="1E1E1E"/>
                <w:sz w:val="15"/>
              </w:rPr>
              <w:t>Szybkiego pogorszenia</w:t>
            </w:r>
          </w:p>
        </w:tc>
        <w:tc>
          <w:tcPr>
            <w:tcW w:w="3240" w:type="dxa"/>
            <w:shd w:val="clear" w:color="auto" w:fill="EDF1F4"/>
            <w:tcMar>
              <w:top w:w="70" w:type="dxa"/>
              <w:left w:w="85" w:type="dxa"/>
              <w:bottom w:w="70" w:type="dxa"/>
              <w:right w:w="85" w:type="dxa"/>
            </w:tcMar>
            <w:vAlign w:val="center"/>
          </w:tcPr>
          <w:p w14:paraId="4696E4B7" w14:textId="77777777" w:rsidR="003357E9" w:rsidRPr="00BA4F7F" w:rsidRDefault="00000000">
            <w:pPr>
              <w:spacing w:after="0"/>
            </w:pPr>
            <w:r w:rsidRPr="00BA4F7F">
              <w:rPr>
                <w:color w:val="1E1E1E"/>
                <w:sz w:val="15"/>
              </w:rPr>
              <w:t xml:space="preserve">r/r: 3 pkt IRS; 4 filar; 6 </w:t>
            </w:r>
            <w:proofErr w:type="spellStart"/>
            <w:r w:rsidRPr="00BA4F7F">
              <w:rPr>
                <w:color w:val="1E1E1E"/>
                <w:sz w:val="15"/>
              </w:rPr>
              <w:t>subindeks</w:t>
            </w:r>
            <w:proofErr w:type="spellEnd"/>
            <w:r w:rsidRPr="00BA4F7F">
              <w:rPr>
                <w:color w:val="1E1E1E"/>
                <w:sz w:val="15"/>
              </w:rPr>
              <w:t xml:space="preserve">; 8 </w:t>
            </w:r>
            <w:proofErr w:type="spellStart"/>
            <w:r w:rsidRPr="00BA4F7F">
              <w:rPr>
                <w:color w:val="1E1E1E"/>
                <w:sz w:val="15"/>
              </w:rPr>
              <w:t>subobszar</w:t>
            </w:r>
            <w:proofErr w:type="spellEnd"/>
          </w:p>
        </w:tc>
        <w:tc>
          <w:tcPr>
            <w:tcW w:w="4032" w:type="dxa"/>
            <w:shd w:val="clear" w:color="auto" w:fill="EDF1F4"/>
            <w:tcMar>
              <w:top w:w="70" w:type="dxa"/>
              <w:left w:w="85" w:type="dxa"/>
              <w:bottom w:w="70" w:type="dxa"/>
              <w:right w:w="85" w:type="dxa"/>
            </w:tcMar>
            <w:vAlign w:val="center"/>
          </w:tcPr>
          <w:p w14:paraId="25D10C03" w14:textId="77777777" w:rsidR="003357E9" w:rsidRPr="00BA4F7F" w:rsidRDefault="00000000">
            <w:pPr>
              <w:spacing w:after="0"/>
            </w:pPr>
            <w:r w:rsidRPr="00BA4F7F">
              <w:rPr>
                <w:color w:val="1E1E1E"/>
                <w:sz w:val="15"/>
              </w:rPr>
              <w:t>wychwytuje silny szok ostatniego roku</w:t>
            </w:r>
          </w:p>
        </w:tc>
      </w:tr>
      <w:tr w:rsidR="003357E9" w:rsidRPr="00BA4F7F" w14:paraId="20B59FCA" w14:textId="77777777">
        <w:trPr>
          <w:cantSplit/>
          <w:jc w:val="center"/>
        </w:trPr>
        <w:tc>
          <w:tcPr>
            <w:tcW w:w="2232" w:type="dxa"/>
            <w:tcMar>
              <w:top w:w="70" w:type="dxa"/>
              <w:left w:w="85" w:type="dxa"/>
              <w:bottom w:w="70" w:type="dxa"/>
              <w:right w:w="85" w:type="dxa"/>
            </w:tcMar>
            <w:vAlign w:val="center"/>
          </w:tcPr>
          <w:p w14:paraId="5E15C023" w14:textId="77777777" w:rsidR="003357E9" w:rsidRPr="00BA4F7F" w:rsidRDefault="00000000">
            <w:pPr>
              <w:spacing w:after="0"/>
            </w:pPr>
            <w:r w:rsidRPr="00BA4F7F">
              <w:rPr>
                <w:color w:val="1E1E1E"/>
                <w:sz w:val="15"/>
              </w:rPr>
              <w:t>Pogorszenia strukturalnego</w:t>
            </w:r>
          </w:p>
        </w:tc>
        <w:tc>
          <w:tcPr>
            <w:tcW w:w="3240" w:type="dxa"/>
            <w:tcMar>
              <w:top w:w="70" w:type="dxa"/>
              <w:left w:w="85" w:type="dxa"/>
              <w:bottom w:w="70" w:type="dxa"/>
              <w:right w:w="85" w:type="dxa"/>
            </w:tcMar>
            <w:vAlign w:val="center"/>
          </w:tcPr>
          <w:p w14:paraId="0378F87A" w14:textId="77777777" w:rsidR="003357E9" w:rsidRPr="00BA4F7F" w:rsidRDefault="00000000">
            <w:pPr>
              <w:spacing w:after="0"/>
            </w:pPr>
            <w:r w:rsidRPr="00BA4F7F">
              <w:rPr>
                <w:color w:val="1E1E1E"/>
                <w:sz w:val="15"/>
              </w:rPr>
              <w:t>3 lata: 3/4/6/10 pkt + co najmniej 2 spadki</w:t>
            </w:r>
          </w:p>
        </w:tc>
        <w:tc>
          <w:tcPr>
            <w:tcW w:w="4032" w:type="dxa"/>
            <w:tcMar>
              <w:top w:w="70" w:type="dxa"/>
              <w:left w:w="85" w:type="dxa"/>
              <w:bottom w:w="70" w:type="dxa"/>
              <w:right w:w="85" w:type="dxa"/>
            </w:tcMar>
            <w:vAlign w:val="center"/>
          </w:tcPr>
          <w:p w14:paraId="52E11A2A" w14:textId="77777777" w:rsidR="003357E9" w:rsidRPr="00BA4F7F" w:rsidRDefault="00000000">
            <w:pPr>
              <w:spacing w:after="0"/>
            </w:pPr>
            <w:r w:rsidRPr="00BA4F7F">
              <w:rPr>
                <w:color w:val="1E1E1E"/>
                <w:sz w:val="15"/>
              </w:rPr>
              <w:t>identyfikuje trwałą niekorzystną trajektorię</w:t>
            </w:r>
          </w:p>
        </w:tc>
      </w:tr>
      <w:tr w:rsidR="003357E9" w:rsidRPr="00BA4F7F" w14:paraId="2CE42FC9" w14:textId="77777777">
        <w:trPr>
          <w:cantSplit/>
          <w:jc w:val="center"/>
        </w:trPr>
        <w:tc>
          <w:tcPr>
            <w:tcW w:w="2232" w:type="dxa"/>
            <w:shd w:val="clear" w:color="auto" w:fill="EDF1F4"/>
            <w:tcMar>
              <w:top w:w="70" w:type="dxa"/>
              <w:left w:w="85" w:type="dxa"/>
              <w:bottom w:w="70" w:type="dxa"/>
              <w:right w:w="85" w:type="dxa"/>
            </w:tcMar>
            <w:vAlign w:val="center"/>
          </w:tcPr>
          <w:p w14:paraId="72BFDCC0" w14:textId="77777777" w:rsidR="003357E9" w:rsidRPr="00BA4F7F" w:rsidRDefault="00000000">
            <w:pPr>
              <w:spacing w:after="0"/>
            </w:pPr>
            <w:r w:rsidRPr="00BA4F7F">
              <w:rPr>
                <w:color w:val="1E1E1E"/>
                <w:sz w:val="15"/>
              </w:rPr>
              <w:t>Trwałej słabości</w:t>
            </w:r>
          </w:p>
        </w:tc>
        <w:tc>
          <w:tcPr>
            <w:tcW w:w="3240" w:type="dxa"/>
            <w:shd w:val="clear" w:color="auto" w:fill="EDF1F4"/>
            <w:tcMar>
              <w:top w:w="70" w:type="dxa"/>
              <w:left w:w="85" w:type="dxa"/>
              <w:bottom w:w="70" w:type="dxa"/>
              <w:right w:w="85" w:type="dxa"/>
            </w:tcMar>
            <w:vAlign w:val="center"/>
          </w:tcPr>
          <w:p w14:paraId="45849FD2" w14:textId="77777777" w:rsidR="003357E9" w:rsidRPr="00BA4F7F" w:rsidRDefault="00000000">
            <w:pPr>
              <w:spacing w:after="0"/>
            </w:pPr>
            <w:proofErr w:type="spellStart"/>
            <w:r w:rsidRPr="00BA4F7F">
              <w:rPr>
                <w:color w:val="1E1E1E"/>
                <w:sz w:val="15"/>
              </w:rPr>
              <w:t>subobszar</w:t>
            </w:r>
            <w:proofErr w:type="spellEnd"/>
            <w:r w:rsidRPr="00BA4F7F">
              <w:rPr>
                <w:color w:val="1E1E1E"/>
                <w:sz w:val="15"/>
              </w:rPr>
              <w:t xml:space="preserve"> &lt;50 pkt przez 3 lata</w:t>
            </w:r>
          </w:p>
        </w:tc>
        <w:tc>
          <w:tcPr>
            <w:tcW w:w="4032" w:type="dxa"/>
            <w:shd w:val="clear" w:color="auto" w:fill="EDF1F4"/>
            <w:tcMar>
              <w:top w:w="70" w:type="dxa"/>
              <w:left w:w="85" w:type="dxa"/>
              <w:bottom w:w="70" w:type="dxa"/>
              <w:right w:w="85" w:type="dxa"/>
            </w:tcMar>
            <w:vAlign w:val="center"/>
          </w:tcPr>
          <w:p w14:paraId="0BF40EB0" w14:textId="77777777" w:rsidR="003357E9" w:rsidRPr="00BA4F7F" w:rsidRDefault="00000000">
            <w:pPr>
              <w:spacing w:after="0"/>
            </w:pPr>
            <w:r w:rsidRPr="00BA4F7F">
              <w:rPr>
                <w:color w:val="1E1E1E"/>
                <w:sz w:val="15"/>
              </w:rPr>
              <w:t>sygnał pomocniczy, nie formalny alert</w:t>
            </w:r>
          </w:p>
        </w:tc>
      </w:tr>
    </w:tbl>
    <w:p w14:paraId="4909EE30" w14:textId="77777777" w:rsidR="003357E9" w:rsidRPr="00BA4F7F" w:rsidRDefault="00000000">
      <w:r w:rsidRPr="00BA4F7F">
        <w:t>Demografia i Ład instytucjonalny pozostają poniżej 45 pkt w latach 2024–2025, lecz ze względu na wynik poniżej 40 pkt model pokazuje ich wyższą rangę jako alert wysokiego ryzyka. Oznaczenia nie sumują się do liczby unikalnych problemów: jeden komponent może spełniać kilka warunków, a w panelu prezentowany jest najwyższy priorytet.</w:t>
      </w:r>
    </w:p>
    <w:p w14:paraId="1D037BCF" w14:textId="77777777" w:rsidR="003357E9" w:rsidRPr="00BA4F7F" w:rsidRDefault="00000000">
      <w:pPr>
        <w:pStyle w:val="Nagwek2"/>
      </w:pPr>
      <w:r w:rsidRPr="00BA4F7F">
        <w:t>14B.2. Alert systemowy – stabilizacja wyniku nie oznacza odbudowy trajektorii</w:t>
      </w:r>
    </w:p>
    <w:p w14:paraId="29B17BE8" w14:textId="77777777" w:rsidR="003357E9" w:rsidRPr="00BA4F7F" w:rsidRDefault="00000000">
      <w:pPr>
        <w:pStyle w:val="Lead"/>
        <w:rPr>
          <w:lang w:val="pl-PL"/>
        </w:rPr>
      </w:pPr>
      <w:r w:rsidRPr="00BA4F7F">
        <w:rPr>
          <w:lang w:val="pl-PL"/>
        </w:rPr>
        <w:t>Wynik główny IRS oraz oba filary spełniają warunek pogorszenia strukturalnego, mimo że w 2025 r. nie nastąpił kolejny gwałtowny spadek.</w:t>
      </w:r>
    </w:p>
    <w:p w14:paraId="18EB469B" w14:textId="77777777" w:rsidR="003357E9" w:rsidRPr="00BA4F7F" w:rsidRDefault="00000000">
      <w:r w:rsidRPr="00BA4F7F">
        <w:t>IRS obniżył się w ruchomym okresie 2022–2025 o 6,3 pkt, Filar I o 4,4 pkt, a Filar II o 9,1 pkt. Każdy poziom odnotował co najmniej dwa lata pogorszenia. Rok 2025 przyniósł niewielkie odbicie Filara II i niemal niezmieniony wynik główny, ale nie odwrócił spadku z lat 2023–2024.</w:t>
      </w:r>
    </w:p>
    <w:p w14:paraId="15005B30" w14:textId="77777777" w:rsidR="003357E9" w:rsidRPr="00BA4F7F" w:rsidRDefault="00000000">
      <w:r w:rsidRPr="00BA4F7F">
        <w:lastRenderedPageBreak/>
        <w:t>Problem nie polega na równomiernym osłabieniu wszystkich zdolności. Wysokie wyniki obronności, rynku pracy, równowagi zewnętrznej i części projektów podtrzymują średnią. Jednocześnie demografia, finanse publiczne, kapitał społeczny i instytucje ograniczają zdolność do powtórzenia mobilizacji w kolejnych kryzysach.</w:t>
      </w:r>
    </w:p>
    <w:p w14:paraId="49B700BA" w14:textId="77777777" w:rsidR="003357E9" w:rsidRPr="00BA4F7F" w:rsidRDefault="00000000">
      <w:r w:rsidRPr="00BA4F7F">
        <w:t>Zagrożeniem jest przejście od odporności opartej na zasobach systemowych do odporności utrzymywanej przez coraz droższe interwencje specjalne. Państwo może nadal osiągać wyniki operacyjne, ale będzie potrzebować więcej pieniędzy, wyjątkowej presji politycznej i struktur ad hoc, aby wytworzyć ten sam efekt.</w:t>
      </w:r>
    </w:p>
    <w:tbl>
      <w:tblPr>
        <w:tblStyle w:val="Tabela-Siatka"/>
        <w:tblW w:w="0" w:type="auto"/>
        <w:jc w:val="center"/>
        <w:tblLook w:val="04A0" w:firstRow="1" w:lastRow="0" w:firstColumn="1" w:lastColumn="0" w:noHBand="0" w:noVBand="1"/>
      </w:tblPr>
      <w:tblGrid>
        <w:gridCol w:w="1296"/>
        <w:gridCol w:w="4680"/>
        <w:gridCol w:w="3528"/>
      </w:tblGrid>
      <w:tr w:rsidR="003357E9" w:rsidRPr="00BA4F7F" w14:paraId="3A8472E9" w14:textId="77777777">
        <w:trPr>
          <w:cantSplit/>
          <w:tblHeader/>
          <w:jc w:val="center"/>
        </w:trPr>
        <w:tc>
          <w:tcPr>
            <w:tcW w:w="1296" w:type="dxa"/>
            <w:shd w:val="clear" w:color="auto" w:fill="1F4E79"/>
            <w:tcMar>
              <w:top w:w="70" w:type="dxa"/>
              <w:left w:w="85" w:type="dxa"/>
              <w:bottom w:w="70" w:type="dxa"/>
              <w:right w:w="85" w:type="dxa"/>
            </w:tcMar>
            <w:vAlign w:val="center"/>
          </w:tcPr>
          <w:p w14:paraId="0CA3B392" w14:textId="77777777" w:rsidR="003357E9" w:rsidRPr="00BA4F7F" w:rsidRDefault="00000000">
            <w:pPr>
              <w:spacing w:after="0"/>
              <w:jc w:val="center"/>
            </w:pPr>
            <w:r w:rsidRPr="00BA4F7F">
              <w:rPr>
                <w:b/>
                <w:color w:val="FFFFFF"/>
                <w:sz w:val="15"/>
              </w:rPr>
              <w:t>Horyzont</w:t>
            </w:r>
          </w:p>
        </w:tc>
        <w:tc>
          <w:tcPr>
            <w:tcW w:w="4680" w:type="dxa"/>
            <w:shd w:val="clear" w:color="auto" w:fill="1F4E79"/>
            <w:tcMar>
              <w:top w:w="70" w:type="dxa"/>
              <w:left w:w="85" w:type="dxa"/>
              <w:bottom w:w="70" w:type="dxa"/>
              <w:right w:w="85" w:type="dxa"/>
            </w:tcMar>
            <w:vAlign w:val="center"/>
          </w:tcPr>
          <w:p w14:paraId="7F2C8CE6" w14:textId="77777777" w:rsidR="003357E9" w:rsidRPr="00BA4F7F" w:rsidRDefault="00000000">
            <w:pPr>
              <w:spacing w:after="0"/>
              <w:jc w:val="center"/>
            </w:pPr>
            <w:r w:rsidRPr="00BA4F7F">
              <w:rPr>
                <w:b/>
                <w:color w:val="FFFFFF"/>
                <w:sz w:val="15"/>
              </w:rPr>
              <w:t>Działanie mitygujące</w:t>
            </w:r>
          </w:p>
        </w:tc>
        <w:tc>
          <w:tcPr>
            <w:tcW w:w="3528" w:type="dxa"/>
            <w:shd w:val="clear" w:color="auto" w:fill="1F4E79"/>
            <w:tcMar>
              <w:top w:w="70" w:type="dxa"/>
              <w:left w:w="85" w:type="dxa"/>
              <w:bottom w:w="70" w:type="dxa"/>
              <w:right w:w="85" w:type="dxa"/>
            </w:tcMar>
            <w:vAlign w:val="center"/>
          </w:tcPr>
          <w:p w14:paraId="6B2661D7" w14:textId="77777777" w:rsidR="003357E9" w:rsidRPr="00BA4F7F" w:rsidRDefault="00000000">
            <w:pPr>
              <w:spacing w:after="0"/>
              <w:jc w:val="center"/>
            </w:pPr>
            <w:r w:rsidRPr="00BA4F7F">
              <w:rPr>
                <w:b/>
                <w:color w:val="FFFFFF"/>
                <w:sz w:val="15"/>
              </w:rPr>
              <w:t>Warunek wiarygodnej poprawy</w:t>
            </w:r>
          </w:p>
        </w:tc>
      </w:tr>
      <w:tr w:rsidR="003357E9" w:rsidRPr="00BA4F7F" w14:paraId="1A3C4197" w14:textId="77777777">
        <w:trPr>
          <w:cantSplit/>
          <w:jc w:val="center"/>
        </w:trPr>
        <w:tc>
          <w:tcPr>
            <w:tcW w:w="1296" w:type="dxa"/>
            <w:tcMar>
              <w:top w:w="70" w:type="dxa"/>
              <w:left w:w="85" w:type="dxa"/>
              <w:bottom w:w="70" w:type="dxa"/>
              <w:right w:w="85" w:type="dxa"/>
            </w:tcMar>
            <w:vAlign w:val="center"/>
          </w:tcPr>
          <w:p w14:paraId="06392D97" w14:textId="77777777" w:rsidR="003357E9" w:rsidRPr="00BA4F7F" w:rsidRDefault="00000000">
            <w:pPr>
              <w:spacing w:after="0"/>
            </w:pPr>
            <w:r w:rsidRPr="00BA4F7F">
              <w:rPr>
                <w:color w:val="1E1E1E"/>
                <w:sz w:val="15"/>
              </w:rPr>
              <w:t>1–2 lata</w:t>
            </w:r>
          </w:p>
        </w:tc>
        <w:tc>
          <w:tcPr>
            <w:tcW w:w="4680" w:type="dxa"/>
            <w:tcMar>
              <w:top w:w="70" w:type="dxa"/>
              <w:left w:w="85" w:type="dxa"/>
              <w:bottom w:w="70" w:type="dxa"/>
              <w:right w:w="85" w:type="dxa"/>
            </w:tcMar>
            <w:vAlign w:val="center"/>
          </w:tcPr>
          <w:p w14:paraId="5A969E45" w14:textId="77777777" w:rsidR="003357E9" w:rsidRPr="00BA4F7F" w:rsidRDefault="00000000">
            <w:pPr>
              <w:spacing w:after="0"/>
            </w:pPr>
            <w:r w:rsidRPr="00BA4F7F">
              <w:rPr>
                <w:color w:val="1E1E1E"/>
                <w:sz w:val="15"/>
              </w:rPr>
              <w:t xml:space="preserve">hierarchizacja zobowiązań, przegląd </w:t>
            </w:r>
            <w:proofErr w:type="spellStart"/>
            <w:r w:rsidRPr="00BA4F7F">
              <w:rPr>
                <w:color w:val="1E1E1E"/>
                <w:sz w:val="15"/>
              </w:rPr>
              <w:t>ryzyk</w:t>
            </w:r>
            <w:proofErr w:type="spellEnd"/>
            <w:r w:rsidRPr="00BA4F7F">
              <w:rPr>
                <w:color w:val="1E1E1E"/>
                <w:sz w:val="15"/>
              </w:rPr>
              <w:t xml:space="preserve"> fiskalnych i projektowych oraz ochrona kilku zdolności ponad cyklem budżetowym</w:t>
            </w:r>
          </w:p>
        </w:tc>
        <w:tc>
          <w:tcPr>
            <w:tcW w:w="3528" w:type="dxa"/>
            <w:tcMar>
              <w:top w:w="70" w:type="dxa"/>
              <w:left w:w="85" w:type="dxa"/>
              <w:bottom w:w="70" w:type="dxa"/>
              <w:right w:w="85" w:type="dxa"/>
            </w:tcMar>
            <w:vAlign w:val="center"/>
          </w:tcPr>
          <w:p w14:paraId="5F42A18B" w14:textId="77777777" w:rsidR="003357E9" w:rsidRPr="00BA4F7F" w:rsidRDefault="00000000">
            <w:pPr>
              <w:spacing w:after="0"/>
            </w:pPr>
            <w:r w:rsidRPr="00BA4F7F">
              <w:rPr>
                <w:color w:val="1E1E1E"/>
                <w:sz w:val="15"/>
              </w:rPr>
              <w:t>stabilizacja zmian rocznych bez pogorszenia komponentów krytycznych</w:t>
            </w:r>
          </w:p>
        </w:tc>
      </w:tr>
      <w:tr w:rsidR="003357E9" w:rsidRPr="00BA4F7F" w14:paraId="173D2681" w14:textId="77777777">
        <w:trPr>
          <w:cantSplit/>
          <w:jc w:val="center"/>
        </w:trPr>
        <w:tc>
          <w:tcPr>
            <w:tcW w:w="1296" w:type="dxa"/>
            <w:shd w:val="clear" w:color="auto" w:fill="EDF1F4"/>
            <w:tcMar>
              <w:top w:w="70" w:type="dxa"/>
              <w:left w:w="85" w:type="dxa"/>
              <w:bottom w:w="70" w:type="dxa"/>
              <w:right w:w="85" w:type="dxa"/>
            </w:tcMar>
            <w:vAlign w:val="center"/>
          </w:tcPr>
          <w:p w14:paraId="14AD0D82" w14:textId="77777777" w:rsidR="003357E9" w:rsidRPr="00BA4F7F" w:rsidRDefault="00000000">
            <w:pPr>
              <w:spacing w:after="0"/>
            </w:pPr>
            <w:r w:rsidRPr="00BA4F7F">
              <w:rPr>
                <w:color w:val="1E1E1E"/>
                <w:sz w:val="15"/>
              </w:rPr>
              <w:t>3–5 lat</w:t>
            </w:r>
          </w:p>
        </w:tc>
        <w:tc>
          <w:tcPr>
            <w:tcW w:w="4680" w:type="dxa"/>
            <w:shd w:val="clear" w:color="auto" w:fill="EDF1F4"/>
            <w:tcMar>
              <w:top w:w="70" w:type="dxa"/>
              <w:left w:w="85" w:type="dxa"/>
              <w:bottom w:w="70" w:type="dxa"/>
              <w:right w:w="85" w:type="dxa"/>
            </w:tcMar>
            <w:vAlign w:val="center"/>
          </w:tcPr>
          <w:p w14:paraId="4DEBEAEC" w14:textId="77777777" w:rsidR="003357E9" w:rsidRPr="00BA4F7F" w:rsidRDefault="00000000">
            <w:pPr>
              <w:spacing w:after="0"/>
            </w:pPr>
            <w:r w:rsidRPr="00BA4F7F">
              <w:rPr>
                <w:color w:val="1E1E1E"/>
                <w:sz w:val="15"/>
              </w:rPr>
              <w:t>wspólne zarządzanie portfelem reform i projektów, trwała architektura demograficzna oraz poprawa jakości regulacji i wykonania</w:t>
            </w:r>
          </w:p>
        </w:tc>
        <w:tc>
          <w:tcPr>
            <w:tcW w:w="3528" w:type="dxa"/>
            <w:shd w:val="clear" w:color="auto" w:fill="EDF1F4"/>
            <w:tcMar>
              <w:top w:w="70" w:type="dxa"/>
              <w:left w:w="85" w:type="dxa"/>
              <w:bottom w:w="70" w:type="dxa"/>
              <w:right w:w="85" w:type="dxa"/>
            </w:tcMar>
            <w:vAlign w:val="center"/>
          </w:tcPr>
          <w:p w14:paraId="6EA05080" w14:textId="77777777" w:rsidR="003357E9" w:rsidRPr="00BA4F7F" w:rsidRDefault="00000000">
            <w:pPr>
              <w:spacing w:after="0"/>
            </w:pPr>
            <w:r w:rsidRPr="00BA4F7F">
              <w:rPr>
                <w:color w:val="1E1E1E"/>
                <w:sz w:val="15"/>
              </w:rPr>
              <w:t>wyjście ruchomych zmian trzyletnich ponad progi alertowe w obu filarach</w:t>
            </w:r>
          </w:p>
        </w:tc>
      </w:tr>
      <w:tr w:rsidR="003357E9" w:rsidRPr="00BA4F7F" w14:paraId="711F2F8A" w14:textId="77777777">
        <w:trPr>
          <w:cantSplit/>
          <w:jc w:val="center"/>
        </w:trPr>
        <w:tc>
          <w:tcPr>
            <w:tcW w:w="1296" w:type="dxa"/>
            <w:tcMar>
              <w:top w:w="70" w:type="dxa"/>
              <w:left w:w="85" w:type="dxa"/>
              <w:bottom w:w="70" w:type="dxa"/>
              <w:right w:w="85" w:type="dxa"/>
            </w:tcMar>
            <w:vAlign w:val="center"/>
          </w:tcPr>
          <w:p w14:paraId="1FFADAD6" w14:textId="77777777" w:rsidR="003357E9" w:rsidRPr="00BA4F7F" w:rsidRDefault="00000000">
            <w:pPr>
              <w:spacing w:after="0"/>
            </w:pPr>
            <w:r w:rsidRPr="00BA4F7F">
              <w:rPr>
                <w:color w:val="1E1E1E"/>
                <w:sz w:val="15"/>
              </w:rPr>
              <w:t>&gt;5 lat</w:t>
            </w:r>
          </w:p>
        </w:tc>
        <w:tc>
          <w:tcPr>
            <w:tcW w:w="4680" w:type="dxa"/>
            <w:tcMar>
              <w:top w:w="70" w:type="dxa"/>
              <w:left w:w="85" w:type="dxa"/>
              <w:bottom w:w="70" w:type="dxa"/>
              <w:right w:w="85" w:type="dxa"/>
            </w:tcMar>
            <w:vAlign w:val="center"/>
          </w:tcPr>
          <w:p w14:paraId="75AA1184" w14:textId="77777777" w:rsidR="003357E9" w:rsidRPr="00BA4F7F" w:rsidRDefault="00000000">
            <w:pPr>
              <w:spacing w:after="0"/>
            </w:pPr>
            <w:r w:rsidRPr="00BA4F7F">
              <w:rPr>
                <w:color w:val="1E1E1E"/>
                <w:sz w:val="15"/>
              </w:rPr>
              <w:t>odbudowa zasobów ludnościowych, fiskalnych, instytucjonalnych i wspólnotowych</w:t>
            </w:r>
          </w:p>
        </w:tc>
        <w:tc>
          <w:tcPr>
            <w:tcW w:w="3528" w:type="dxa"/>
            <w:tcMar>
              <w:top w:w="70" w:type="dxa"/>
              <w:left w:w="85" w:type="dxa"/>
              <w:bottom w:w="70" w:type="dxa"/>
              <w:right w:w="85" w:type="dxa"/>
            </w:tcMar>
            <w:vAlign w:val="center"/>
          </w:tcPr>
          <w:p w14:paraId="186EE3A0" w14:textId="77777777" w:rsidR="003357E9" w:rsidRPr="00BA4F7F" w:rsidRDefault="00000000">
            <w:pPr>
              <w:spacing w:after="0"/>
            </w:pPr>
            <w:r w:rsidRPr="00BA4F7F">
              <w:rPr>
                <w:color w:val="1E1E1E"/>
                <w:sz w:val="15"/>
              </w:rPr>
              <w:t>wzrost IRS oparty na kilku niezależnych komponentach, a nie na jednym obszarze mobilizacyjnym</w:t>
            </w:r>
          </w:p>
        </w:tc>
      </w:tr>
    </w:tbl>
    <w:p w14:paraId="546FA6BC" w14:textId="77777777" w:rsidR="003357E9" w:rsidRPr="00BA4F7F" w:rsidRDefault="00000000">
      <w:r>
        <w:rPr>
          <w:b/>
          <w:color w:val="1F4E79"/>
        </w:rPr>
        <w:t>Wniosek. Najważniejszym sygnałem nie jest poziom 55,0 pkt sam w sobie, lecz fakt, że stabilizacja wystąpiła po równoczesnym osłabieniu obu filarów. Odbudowa wymaga zmiany jakości zasobów i instytucji, a nie jedynie ponownego zwiększenia nakładów.</w:t>
      </w:r>
    </w:p>
    <w:p w14:paraId="5A5C5FD3" w14:textId="77777777" w:rsidR="003357E9" w:rsidRPr="00BA4F7F" w:rsidRDefault="00000000">
      <w:pPr>
        <w:pStyle w:val="Nagwek2"/>
      </w:pPr>
      <w:r w:rsidRPr="00BA4F7F">
        <w:t>14B.3. Finanse publiczne – malejąca rezerwa strategiczna</w:t>
      </w:r>
    </w:p>
    <w:p w14:paraId="24D50037" w14:textId="77777777" w:rsidR="003357E9" w:rsidRPr="00BA4F7F" w:rsidRDefault="00000000">
      <w:pPr>
        <w:pStyle w:val="Lead"/>
        <w:rPr>
          <w:lang w:val="pl-PL"/>
        </w:rPr>
      </w:pPr>
      <w:r w:rsidRPr="00BA4F7F">
        <w:rPr>
          <w:lang w:val="pl-PL"/>
        </w:rPr>
        <w:t>Finanse publiczne osiągają 51,7 pkt, lecz spełniają warunek pogorszenia strukturalnego: spadek w latach 2022–2025 wynosi 22,0 pkt.</w:t>
      </w:r>
    </w:p>
    <w:p w14:paraId="1A75FA4D" w14:textId="77777777" w:rsidR="003357E9" w:rsidRPr="00BA4F7F" w:rsidRDefault="00000000">
      <w:r w:rsidRPr="00BA4F7F">
        <w:t>Alert nie oznacza utraty dostępu do finansowania ani bezpośredniej niewypłacalności. Wskazuje, że po okresie silnych dochodów i odbudowy w 2021 r. wynik obniża się trzeci rok z rzędu. W modelu najsilniej obciążają go wysoki deficyt sektora instytucji rządowych i samorządowych oraz rosnący koszt obsługi długu.</w:t>
      </w:r>
    </w:p>
    <w:p w14:paraId="3B1017EA" w14:textId="77777777" w:rsidR="003357E9" w:rsidRPr="00BA4F7F" w:rsidRDefault="00000000">
      <w:r w:rsidRPr="00BA4F7F">
        <w:t>Znaczenie dla racji stanu wynika z konkurencji o ten sam zasób. Obrona, ochrona ludności, zdrowie, transformacja energetyczna, infrastruktura i koszty starzenia się społeczeństwa wymagają wieloletniego finansowania. Gdy deficyt ma charakter trwały, kolejny szok wymusza większy dług, wyższe podatki albo ograniczenie inwestycji.</w:t>
      </w:r>
    </w:p>
    <w:p w14:paraId="737251D5" w14:textId="77777777" w:rsidR="003357E9" w:rsidRPr="00BA4F7F" w:rsidRDefault="00000000">
      <w:r w:rsidRPr="00BA4F7F">
        <w:t xml:space="preserve">Komisja Europejska prowadzi wobec Polski procedurę nadmiernego deficytu, a OECD w 2026 r. wskazuje, że deficyt sektora </w:t>
      </w:r>
      <w:proofErr w:type="spellStart"/>
      <w:r w:rsidRPr="00BA4F7F">
        <w:t>general</w:t>
      </w:r>
      <w:proofErr w:type="spellEnd"/>
      <w:r w:rsidRPr="00BA4F7F">
        <w:t xml:space="preserve"> </w:t>
      </w:r>
      <w:proofErr w:type="spellStart"/>
      <w:r w:rsidRPr="00BA4F7F">
        <w:t>government</w:t>
      </w:r>
      <w:proofErr w:type="spellEnd"/>
      <w:r w:rsidRPr="00BA4F7F">
        <w:t xml:space="preserve"> pogorszył się do 7,3% PKB w 2025 r. i pozostanie podwyższony. Zewnętrzne diagnozy są zgodne z logiką IRS: problemem jest nie tylko poziom wydatków, lecz ich trwałość, hierarchia i pełny koszt przyszłych zobowiązań.</w:t>
      </w:r>
    </w:p>
    <w:tbl>
      <w:tblPr>
        <w:tblStyle w:val="Tabela-Siatka"/>
        <w:tblW w:w="0" w:type="auto"/>
        <w:jc w:val="center"/>
        <w:tblLook w:val="04A0" w:firstRow="1" w:lastRow="0" w:firstColumn="1" w:lastColumn="0" w:noHBand="0" w:noVBand="1"/>
      </w:tblPr>
      <w:tblGrid>
        <w:gridCol w:w="1296"/>
        <w:gridCol w:w="4680"/>
        <w:gridCol w:w="3528"/>
      </w:tblGrid>
      <w:tr w:rsidR="003357E9" w:rsidRPr="00BA4F7F" w14:paraId="5B6D12AD" w14:textId="77777777">
        <w:trPr>
          <w:cantSplit/>
          <w:tblHeader/>
          <w:jc w:val="center"/>
        </w:trPr>
        <w:tc>
          <w:tcPr>
            <w:tcW w:w="1296" w:type="dxa"/>
            <w:shd w:val="clear" w:color="auto" w:fill="1F4E79"/>
            <w:tcMar>
              <w:top w:w="70" w:type="dxa"/>
              <w:left w:w="85" w:type="dxa"/>
              <w:bottom w:w="70" w:type="dxa"/>
              <w:right w:w="85" w:type="dxa"/>
            </w:tcMar>
            <w:vAlign w:val="center"/>
          </w:tcPr>
          <w:p w14:paraId="03BA52D1" w14:textId="77777777" w:rsidR="003357E9" w:rsidRPr="00BA4F7F" w:rsidRDefault="00000000">
            <w:pPr>
              <w:spacing w:after="0"/>
              <w:jc w:val="center"/>
            </w:pPr>
            <w:r w:rsidRPr="00BA4F7F">
              <w:rPr>
                <w:b/>
                <w:color w:val="FFFFFF"/>
                <w:sz w:val="15"/>
              </w:rPr>
              <w:t>Horyzont</w:t>
            </w:r>
          </w:p>
        </w:tc>
        <w:tc>
          <w:tcPr>
            <w:tcW w:w="4680" w:type="dxa"/>
            <w:shd w:val="clear" w:color="auto" w:fill="1F4E79"/>
            <w:tcMar>
              <w:top w:w="70" w:type="dxa"/>
              <w:left w:w="85" w:type="dxa"/>
              <w:bottom w:w="70" w:type="dxa"/>
              <w:right w:w="85" w:type="dxa"/>
            </w:tcMar>
            <w:vAlign w:val="center"/>
          </w:tcPr>
          <w:p w14:paraId="1E07C7E9" w14:textId="77777777" w:rsidR="003357E9" w:rsidRPr="00BA4F7F" w:rsidRDefault="00000000">
            <w:pPr>
              <w:spacing w:after="0"/>
              <w:jc w:val="center"/>
            </w:pPr>
            <w:r w:rsidRPr="00BA4F7F">
              <w:rPr>
                <w:b/>
                <w:color w:val="FFFFFF"/>
                <w:sz w:val="15"/>
              </w:rPr>
              <w:t>Działanie mitygujące</w:t>
            </w:r>
          </w:p>
        </w:tc>
        <w:tc>
          <w:tcPr>
            <w:tcW w:w="3528" w:type="dxa"/>
            <w:shd w:val="clear" w:color="auto" w:fill="1F4E79"/>
            <w:tcMar>
              <w:top w:w="70" w:type="dxa"/>
              <w:left w:w="85" w:type="dxa"/>
              <w:bottom w:w="70" w:type="dxa"/>
              <w:right w:w="85" w:type="dxa"/>
            </w:tcMar>
            <w:vAlign w:val="center"/>
          </w:tcPr>
          <w:p w14:paraId="2B8D0106" w14:textId="77777777" w:rsidR="003357E9" w:rsidRPr="00BA4F7F" w:rsidRDefault="00000000">
            <w:pPr>
              <w:spacing w:after="0"/>
              <w:jc w:val="center"/>
            </w:pPr>
            <w:r w:rsidRPr="00BA4F7F">
              <w:rPr>
                <w:b/>
                <w:color w:val="FFFFFF"/>
                <w:sz w:val="15"/>
              </w:rPr>
              <w:t>Warunek wiarygodnej poprawy</w:t>
            </w:r>
          </w:p>
        </w:tc>
      </w:tr>
      <w:tr w:rsidR="003357E9" w:rsidRPr="00BA4F7F" w14:paraId="338200F0" w14:textId="77777777">
        <w:trPr>
          <w:cantSplit/>
          <w:jc w:val="center"/>
        </w:trPr>
        <w:tc>
          <w:tcPr>
            <w:tcW w:w="1296" w:type="dxa"/>
            <w:tcMar>
              <w:top w:w="70" w:type="dxa"/>
              <w:left w:w="85" w:type="dxa"/>
              <w:bottom w:w="70" w:type="dxa"/>
              <w:right w:w="85" w:type="dxa"/>
            </w:tcMar>
            <w:vAlign w:val="center"/>
          </w:tcPr>
          <w:p w14:paraId="02726C57" w14:textId="77777777" w:rsidR="003357E9" w:rsidRPr="00BA4F7F" w:rsidRDefault="00000000">
            <w:pPr>
              <w:spacing w:after="0"/>
            </w:pPr>
            <w:r w:rsidRPr="00BA4F7F">
              <w:rPr>
                <w:color w:val="1E1E1E"/>
                <w:sz w:val="15"/>
              </w:rPr>
              <w:t>1–2 lata</w:t>
            </w:r>
          </w:p>
        </w:tc>
        <w:tc>
          <w:tcPr>
            <w:tcW w:w="4680" w:type="dxa"/>
            <w:tcMar>
              <w:top w:w="70" w:type="dxa"/>
              <w:left w:w="85" w:type="dxa"/>
              <w:bottom w:w="70" w:type="dxa"/>
              <w:right w:w="85" w:type="dxa"/>
            </w:tcMar>
            <w:vAlign w:val="center"/>
          </w:tcPr>
          <w:p w14:paraId="7AB2F1E3" w14:textId="77777777" w:rsidR="003357E9" w:rsidRPr="00BA4F7F" w:rsidRDefault="00000000">
            <w:pPr>
              <w:spacing w:after="0"/>
            </w:pPr>
            <w:r w:rsidRPr="00BA4F7F">
              <w:rPr>
                <w:color w:val="1E1E1E"/>
                <w:sz w:val="15"/>
              </w:rPr>
              <w:t>jawna ścieżka fiskalna, przeglądy wydatków, pełna prezentacja zobowiązań pozabudżetowych i kosztów cyklu życia nowych aktywów</w:t>
            </w:r>
          </w:p>
        </w:tc>
        <w:tc>
          <w:tcPr>
            <w:tcW w:w="3528" w:type="dxa"/>
            <w:tcMar>
              <w:top w:w="70" w:type="dxa"/>
              <w:left w:w="85" w:type="dxa"/>
              <w:bottom w:w="70" w:type="dxa"/>
              <w:right w:w="85" w:type="dxa"/>
            </w:tcMar>
            <w:vAlign w:val="center"/>
          </w:tcPr>
          <w:p w14:paraId="3DF678B8" w14:textId="77777777" w:rsidR="003357E9" w:rsidRPr="00BA4F7F" w:rsidRDefault="00000000">
            <w:pPr>
              <w:spacing w:after="0"/>
            </w:pPr>
            <w:r w:rsidRPr="00BA4F7F">
              <w:rPr>
                <w:color w:val="1E1E1E"/>
                <w:sz w:val="15"/>
              </w:rPr>
              <w:t>spadek deficytu bez redukcji inwestycji o najwyższej wartości strategicznej</w:t>
            </w:r>
          </w:p>
        </w:tc>
      </w:tr>
      <w:tr w:rsidR="003357E9" w:rsidRPr="00BA4F7F" w14:paraId="07527A1F" w14:textId="77777777">
        <w:trPr>
          <w:cantSplit/>
          <w:jc w:val="center"/>
        </w:trPr>
        <w:tc>
          <w:tcPr>
            <w:tcW w:w="1296" w:type="dxa"/>
            <w:shd w:val="clear" w:color="auto" w:fill="EDF1F4"/>
            <w:tcMar>
              <w:top w:w="70" w:type="dxa"/>
              <w:left w:w="85" w:type="dxa"/>
              <w:bottom w:w="70" w:type="dxa"/>
              <w:right w:w="85" w:type="dxa"/>
            </w:tcMar>
            <w:vAlign w:val="center"/>
          </w:tcPr>
          <w:p w14:paraId="1D6AC5B7" w14:textId="77777777" w:rsidR="003357E9" w:rsidRPr="00BA4F7F" w:rsidRDefault="00000000">
            <w:pPr>
              <w:spacing w:after="0"/>
            </w:pPr>
            <w:r w:rsidRPr="00BA4F7F">
              <w:rPr>
                <w:color w:val="1E1E1E"/>
                <w:sz w:val="15"/>
              </w:rPr>
              <w:t>3–5 lat</w:t>
            </w:r>
          </w:p>
        </w:tc>
        <w:tc>
          <w:tcPr>
            <w:tcW w:w="4680" w:type="dxa"/>
            <w:shd w:val="clear" w:color="auto" w:fill="EDF1F4"/>
            <w:tcMar>
              <w:top w:w="70" w:type="dxa"/>
              <w:left w:w="85" w:type="dxa"/>
              <w:bottom w:w="70" w:type="dxa"/>
              <w:right w:w="85" w:type="dxa"/>
            </w:tcMar>
            <w:vAlign w:val="center"/>
          </w:tcPr>
          <w:p w14:paraId="242FBEBF" w14:textId="77777777" w:rsidR="003357E9" w:rsidRPr="00BA4F7F" w:rsidRDefault="00000000">
            <w:pPr>
              <w:spacing w:after="0"/>
            </w:pPr>
            <w:r w:rsidRPr="00BA4F7F">
              <w:rPr>
                <w:color w:val="1E1E1E"/>
                <w:sz w:val="15"/>
              </w:rPr>
              <w:t>ograniczenie wydatków o niskiej skuteczności, stabilniejsze reguły podatkowe i ochrona nakładów podnoszących produktywność</w:t>
            </w:r>
          </w:p>
        </w:tc>
        <w:tc>
          <w:tcPr>
            <w:tcW w:w="3528" w:type="dxa"/>
            <w:shd w:val="clear" w:color="auto" w:fill="EDF1F4"/>
            <w:tcMar>
              <w:top w:w="70" w:type="dxa"/>
              <w:left w:w="85" w:type="dxa"/>
              <w:bottom w:w="70" w:type="dxa"/>
              <w:right w:w="85" w:type="dxa"/>
            </w:tcMar>
            <w:vAlign w:val="center"/>
          </w:tcPr>
          <w:p w14:paraId="56B560E1" w14:textId="77777777" w:rsidR="003357E9" w:rsidRPr="00BA4F7F" w:rsidRDefault="00000000">
            <w:pPr>
              <w:spacing w:after="0"/>
            </w:pPr>
            <w:r w:rsidRPr="00BA4F7F">
              <w:rPr>
                <w:color w:val="1E1E1E"/>
                <w:sz w:val="15"/>
              </w:rPr>
              <w:t>stabilizacja długu i kosztów obsługi oraz poprawa kilku komponentów fiskalnych</w:t>
            </w:r>
          </w:p>
        </w:tc>
      </w:tr>
      <w:tr w:rsidR="003357E9" w:rsidRPr="00BA4F7F" w14:paraId="16759399" w14:textId="77777777">
        <w:trPr>
          <w:cantSplit/>
          <w:jc w:val="center"/>
        </w:trPr>
        <w:tc>
          <w:tcPr>
            <w:tcW w:w="1296" w:type="dxa"/>
            <w:tcMar>
              <w:top w:w="70" w:type="dxa"/>
              <w:left w:w="85" w:type="dxa"/>
              <w:bottom w:w="70" w:type="dxa"/>
              <w:right w:w="85" w:type="dxa"/>
            </w:tcMar>
            <w:vAlign w:val="center"/>
          </w:tcPr>
          <w:p w14:paraId="0223BDB3" w14:textId="77777777" w:rsidR="003357E9" w:rsidRPr="00BA4F7F" w:rsidRDefault="00000000">
            <w:pPr>
              <w:spacing w:after="0"/>
            </w:pPr>
            <w:r w:rsidRPr="00BA4F7F">
              <w:rPr>
                <w:color w:val="1E1E1E"/>
                <w:sz w:val="15"/>
              </w:rPr>
              <w:t>&gt;5 lat</w:t>
            </w:r>
          </w:p>
        </w:tc>
        <w:tc>
          <w:tcPr>
            <w:tcW w:w="4680" w:type="dxa"/>
            <w:tcMar>
              <w:top w:w="70" w:type="dxa"/>
              <w:left w:w="85" w:type="dxa"/>
              <w:bottom w:w="70" w:type="dxa"/>
              <w:right w:w="85" w:type="dxa"/>
            </w:tcMar>
            <w:vAlign w:val="center"/>
          </w:tcPr>
          <w:p w14:paraId="3031259D" w14:textId="77777777" w:rsidR="003357E9" w:rsidRPr="00BA4F7F" w:rsidRDefault="00000000">
            <w:pPr>
              <w:spacing w:after="0"/>
            </w:pPr>
            <w:r w:rsidRPr="00BA4F7F">
              <w:rPr>
                <w:color w:val="1E1E1E"/>
                <w:sz w:val="15"/>
              </w:rPr>
              <w:t>dostosowanie systemów zdrowia, emerytur i usług do starzenia się ludności oraz zwiększenie bazy produktywnej</w:t>
            </w:r>
          </w:p>
        </w:tc>
        <w:tc>
          <w:tcPr>
            <w:tcW w:w="3528" w:type="dxa"/>
            <w:tcMar>
              <w:top w:w="70" w:type="dxa"/>
              <w:left w:w="85" w:type="dxa"/>
              <w:bottom w:w="70" w:type="dxa"/>
              <w:right w:w="85" w:type="dxa"/>
            </w:tcMar>
            <w:vAlign w:val="center"/>
          </w:tcPr>
          <w:p w14:paraId="687CCA9B" w14:textId="77777777" w:rsidR="003357E9" w:rsidRPr="00BA4F7F" w:rsidRDefault="00000000">
            <w:pPr>
              <w:spacing w:after="0"/>
            </w:pPr>
            <w:r w:rsidRPr="00BA4F7F">
              <w:rPr>
                <w:color w:val="1E1E1E"/>
                <w:sz w:val="15"/>
              </w:rPr>
              <w:t>rezerwa pozwalająca finansować kolejny kryzys bez awaryjnego wypierania inwestycji</w:t>
            </w:r>
          </w:p>
        </w:tc>
      </w:tr>
    </w:tbl>
    <w:p w14:paraId="37AC0EA7" w14:textId="77777777" w:rsidR="003357E9" w:rsidRPr="00BA4F7F" w:rsidRDefault="00000000">
      <w:r w:rsidRPr="00BA4F7F">
        <w:rPr>
          <w:b/>
          <w:color w:val="1F4E79"/>
        </w:rPr>
        <w:t>Wniosek.</w:t>
      </w:r>
      <w:r w:rsidRPr="00BA4F7F">
        <w:t xml:space="preserve"> Państwo może długo pozostawać wypłacalne, a jednocześnie tracić suwerenność wyboru między priorytetami. Przestrzeń fiskalna jest opcją strategiczną: jej wartość ujawnia się wtedy, gdy trzeba szybko sfinansować zdarzenie, którego nie przewidziano w planie.</w:t>
      </w:r>
    </w:p>
    <w:p w14:paraId="5EBAEDBD" w14:textId="77777777" w:rsidR="003357E9" w:rsidRPr="00BA4F7F" w:rsidRDefault="00000000">
      <w:pPr>
        <w:pStyle w:val="Nagwek2"/>
      </w:pPr>
      <w:r w:rsidRPr="00BA4F7F">
        <w:t>14B.4. Bezpieczeństwo publiczne – dobry poziom nie neutralizuje niekorzystnej trajektorii</w:t>
      </w:r>
    </w:p>
    <w:p w14:paraId="443F5A08" w14:textId="77777777" w:rsidR="003357E9" w:rsidRPr="00BA4F7F" w:rsidRDefault="00000000">
      <w:pPr>
        <w:pStyle w:val="Lead"/>
        <w:rPr>
          <w:lang w:val="pl-PL"/>
        </w:rPr>
      </w:pPr>
      <w:r w:rsidRPr="00BA4F7F">
        <w:rPr>
          <w:lang w:val="pl-PL"/>
        </w:rPr>
        <w:t>Bezpieczeństwo publiczne uzyskuje 64,6 pkt, lecz od 2022 r. obniżyło się o 23,0 pkt i spełnia warunek pogorszenia strukturalnego.</w:t>
      </w:r>
    </w:p>
    <w:p w14:paraId="4D6DADBC" w14:textId="77777777" w:rsidR="003357E9" w:rsidRPr="00BA4F7F" w:rsidRDefault="00000000">
      <w:proofErr w:type="spellStart"/>
      <w:r w:rsidRPr="00BA4F7F">
        <w:t>Subobszar</w:t>
      </w:r>
      <w:proofErr w:type="spellEnd"/>
      <w:r w:rsidRPr="00BA4F7F">
        <w:t xml:space="preserve"> nie jest ogólnym miernikiem przestępczości. Ocenia kontrolę granic wobec presji migracyjnej i hybrydowej, egzekwowanie prawa, suwerenność decyzyjną i koordynację systemu ochrony granicy. Relatywnie dobry poziom 2025 oznacza zachowanie istotnych zdolności operacyjnych, ale trend ujawnia słabszą spójność doktryny, procedur i odpowiedzialności.</w:t>
      </w:r>
    </w:p>
    <w:p w14:paraId="03AEF46B" w14:textId="77777777" w:rsidR="003357E9" w:rsidRPr="00BA4F7F" w:rsidRDefault="00000000">
      <w:r w:rsidRPr="00BA4F7F">
        <w:lastRenderedPageBreak/>
        <w:t>Ryzyko ma charakter międzysektorowy. Niespójność w polityce granicznej i migracyjnej może zwiększać koszty służb, napięcia społeczne, obciążenie samorządów i ryzyko wykorzystania migracji jako narzędzia presji. Nadmierna reakcja może z kolei osłabić proporcjonalność, prawa jednostki i zaufanie do instytucji.</w:t>
      </w:r>
    </w:p>
    <w:p w14:paraId="69E36EA8" w14:textId="77777777" w:rsidR="003357E9" w:rsidRPr="00BA4F7F" w:rsidRDefault="00000000">
      <w:r w:rsidRPr="00BA4F7F">
        <w:t>Działania mitygujące muszą łączyć ochronę granicy, szybkie i legalne procedury, interoperacyjność danych, selektywną politykę migracyjną oraz zdolność integracji. Sam wzrost liczby funkcjonariuszy lub infrastruktury nie wystarcza, jeżeli decyzje pozostają rozproszone albo zmienne.</w:t>
      </w:r>
    </w:p>
    <w:tbl>
      <w:tblPr>
        <w:tblStyle w:val="Tabela-Siatka"/>
        <w:tblW w:w="0" w:type="auto"/>
        <w:jc w:val="center"/>
        <w:tblLook w:val="04A0" w:firstRow="1" w:lastRow="0" w:firstColumn="1" w:lastColumn="0" w:noHBand="0" w:noVBand="1"/>
      </w:tblPr>
      <w:tblGrid>
        <w:gridCol w:w="1296"/>
        <w:gridCol w:w="4680"/>
        <w:gridCol w:w="3528"/>
      </w:tblGrid>
      <w:tr w:rsidR="003357E9" w:rsidRPr="00BA4F7F" w14:paraId="105A75D7" w14:textId="77777777">
        <w:trPr>
          <w:cantSplit/>
          <w:tblHeader/>
          <w:jc w:val="center"/>
        </w:trPr>
        <w:tc>
          <w:tcPr>
            <w:tcW w:w="1296" w:type="dxa"/>
            <w:shd w:val="clear" w:color="auto" w:fill="1F4E79"/>
            <w:tcMar>
              <w:top w:w="70" w:type="dxa"/>
              <w:left w:w="85" w:type="dxa"/>
              <w:bottom w:w="70" w:type="dxa"/>
              <w:right w:w="85" w:type="dxa"/>
            </w:tcMar>
            <w:vAlign w:val="center"/>
          </w:tcPr>
          <w:p w14:paraId="55190F4D" w14:textId="77777777" w:rsidR="003357E9" w:rsidRPr="00BA4F7F" w:rsidRDefault="00000000">
            <w:pPr>
              <w:spacing w:after="0"/>
              <w:jc w:val="center"/>
            </w:pPr>
            <w:r w:rsidRPr="00BA4F7F">
              <w:rPr>
                <w:b/>
                <w:color w:val="FFFFFF"/>
                <w:sz w:val="15"/>
              </w:rPr>
              <w:t>Horyzont</w:t>
            </w:r>
          </w:p>
        </w:tc>
        <w:tc>
          <w:tcPr>
            <w:tcW w:w="4680" w:type="dxa"/>
            <w:shd w:val="clear" w:color="auto" w:fill="1F4E79"/>
            <w:tcMar>
              <w:top w:w="70" w:type="dxa"/>
              <w:left w:w="85" w:type="dxa"/>
              <w:bottom w:w="70" w:type="dxa"/>
              <w:right w:w="85" w:type="dxa"/>
            </w:tcMar>
            <w:vAlign w:val="center"/>
          </w:tcPr>
          <w:p w14:paraId="3D6CE8DF" w14:textId="77777777" w:rsidR="003357E9" w:rsidRPr="00BA4F7F" w:rsidRDefault="00000000">
            <w:pPr>
              <w:spacing w:after="0"/>
              <w:jc w:val="center"/>
            </w:pPr>
            <w:r w:rsidRPr="00BA4F7F">
              <w:rPr>
                <w:b/>
                <w:color w:val="FFFFFF"/>
                <w:sz w:val="15"/>
              </w:rPr>
              <w:t>Działanie mitygujące</w:t>
            </w:r>
          </w:p>
        </w:tc>
        <w:tc>
          <w:tcPr>
            <w:tcW w:w="3528" w:type="dxa"/>
            <w:shd w:val="clear" w:color="auto" w:fill="1F4E79"/>
            <w:tcMar>
              <w:top w:w="70" w:type="dxa"/>
              <w:left w:w="85" w:type="dxa"/>
              <w:bottom w:w="70" w:type="dxa"/>
              <w:right w:w="85" w:type="dxa"/>
            </w:tcMar>
            <w:vAlign w:val="center"/>
          </w:tcPr>
          <w:p w14:paraId="162E7C12" w14:textId="77777777" w:rsidR="003357E9" w:rsidRPr="00BA4F7F" w:rsidRDefault="00000000">
            <w:pPr>
              <w:spacing w:after="0"/>
              <w:jc w:val="center"/>
            </w:pPr>
            <w:r w:rsidRPr="00BA4F7F">
              <w:rPr>
                <w:b/>
                <w:color w:val="FFFFFF"/>
                <w:sz w:val="15"/>
              </w:rPr>
              <w:t>Warunek wiarygodnej poprawy</w:t>
            </w:r>
          </w:p>
        </w:tc>
      </w:tr>
      <w:tr w:rsidR="003357E9" w:rsidRPr="00BA4F7F" w14:paraId="5295E7C8" w14:textId="77777777">
        <w:trPr>
          <w:cantSplit/>
          <w:jc w:val="center"/>
        </w:trPr>
        <w:tc>
          <w:tcPr>
            <w:tcW w:w="1296" w:type="dxa"/>
            <w:tcMar>
              <w:top w:w="70" w:type="dxa"/>
              <w:left w:w="85" w:type="dxa"/>
              <w:bottom w:w="70" w:type="dxa"/>
              <w:right w:w="85" w:type="dxa"/>
            </w:tcMar>
            <w:vAlign w:val="center"/>
          </w:tcPr>
          <w:p w14:paraId="79676E87" w14:textId="77777777" w:rsidR="003357E9" w:rsidRPr="00BA4F7F" w:rsidRDefault="00000000">
            <w:pPr>
              <w:spacing w:after="0"/>
            </w:pPr>
            <w:r w:rsidRPr="00BA4F7F">
              <w:rPr>
                <w:color w:val="1E1E1E"/>
                <w:sz w:val="15"/>
              </w:rPr>
              <w:t>1–2 lata</w:t>
            </w:r>
          </w:p>
        </w:tc>
        <w:tc>
          <w:tcPr>
            <w:tcW w:w="4680" w:type="dxa"/>
            <w:tcMar>
              <w:top w:w="70" w:type="dxa"/>
              <w:left w:w="85" w:type="dxa"/>
              <w:bottom w:w="70" w:type="dxa"/>
              <w:right w:w="85" w:type="dxa"/>
            </w:tcMar>
            <w:vAlign w:val="center"/>
          </w:tcPr>
          <w:p w14:paraId="10081E71" w14:textId="77777777" w:rsidR="003357E9" w:rsidRPr="00BA4F7F" w:rsidRDefault="00000000">
            <w:pPr>
              <w:spacing w:after="0"/>
            </w:pPr>
            <w:r w:rsidRPr="00BA4F7F">
              <w:rPr>
                <w:color w:val="1E1E1E"/>
                <w:sz w:val="15"/>
              </w:rPr>
              <w:t>jednolita doktryna ochrony granic, wspólne mierniki służb, szybkie procedury oraz kontrola przepływów wtórnych</w:t>
            </w:r>
          </w:p>
        </w:tc>
        <w:tc>
          <w:tcPr>
            <w:tcW w:w="3528" w:type="dxa"/>
            <w:tcMar>
              <w:top w:w="70" w:type="dxa"/>
              <w:left w:w="85" w:type="dxa"/>
              <w:bottom w:w="70" w:type="dxa"/>
              <w:right w:w="85" w:type="dxa"/>
            </w:tcMar>
            <w:vAlign w:val="center"/>
          </w:tcPr>
          <w:p w14:paraId="22849005" w14:textId="77777777" w:rsidR="003357E9" w:rsidRPr="00BA4F7F" w:rsidRDefault="00000000">
            <w:pPr>
              <w:spacing w:after="0"/>
            </w:pPr>
            <w:r w:rsidRPr="00BA4F7F">
              <w:rPr>
                <w:color w:val="1E1E1E"/>
                <w:sz w:val="15"/>
              </w:rPr>
              <w:t>stabilne czasy postępowań, skuteczna egzekucja i mniejsza liczba działań ad hoc</w:t>
            </w:r>
          </w:p>
        </w:tc>
      </w:tr>
      <w:tr w:rsidR="003357E9" w:rsidRPr="00BA4F7F" w14:paraId="0105A0A2" w14:textId="77777777">
        <w:trPr>
          <w:cantSplit/>
          <w:jc w:val="center"/>
        </w:trPr>
        <w:tc>
          <w:tcPr>
            <w:tcW w:w="1296" w:type="dxa"/>
            <w:shd w:val="clear" w:color="auto" w:fill="EDF1F4"/>
            <w:tcMar>
              <w:top w:w="70" w:type="dxa"/>
              <w:left w:w="85" w:type="dxa"/>
              <w:bottom w:w="70" w:type="dxa"/>
              <w:right w:w="85" w:type="dxa"/>
            </w:tcMar>
            <w:vAlign w:val="center"/>
          </w:tcPr>
          <w:p w14:paraId="5BE9C6EF" w14:textId="77777777" w:rsidR="003357E9" w:rsidRPr="00BA4F7F" w:rsidRDefault="00000000">
            <w:pPr>
              <w:spacing w:after="0"/>
            </w:pPr>
            <w:r w:rsidRPr="00BA4F7F">
              <w:rPr>
                <w:color w:val="1E1E1E"/>
                <w:sz w:val="15"/>
              </w:rPr>
              <w:t>3–5 lat</w:t>
            </w:r>
          </w:p>
        </w:tc>
        <w:tc>
          <w:tcPr>
            <w:tcW w:w="4680" w:type="dxa"/>
            <w:shd w:val="clear" w:color="auto" w:fill="EDF1F4"/>
            <w:tcMar>
              <w:top w:w="70" w:type="dxa"/>
              <w:left w:w="85" w:type="dxa"/>
              <w:bottom w:w="70" w:type="dxa"/>
              <w:right w:w="85" w:type="dxa"/>
            </w:tcMar>
            <w:vAlign w:val="center"/>
          </w:tcPr>
          <w:p w14:paraId="3281B284" w14:textId="77777777" w:rsidR="003357E9" w:rsidRPr="00BA4F7F" w:rsidRDefault="00000000">
            <w:pPr>
              <w:spacing w:after="0"/>
            </w:pPr>
            <w:r w:rsidRPr="00BA4F7F">
              <w:rPr>
                <w:color w:val="1E1E1E"/>
                <w:sz w:val="15"/>
              </w:rPr>
              <w:t>zintegrowany system danych, planowanie kadr i infrastruktury oraz trwałe reguły migracji legalnej i integracji</w:t>
            </w:r>
          </w:p>
        </w:tc>
        <w:tc>
          <w:tcPr>
            <w:tcW w:w="3528" w:type="dxa"/>
            <w:shd w:val="clear" w:color="auto" w:fill="EDF1F4"/>
            <w:tcMar>
              <w:top w:w="70" w:type="dxa"/>
              <w:left w:w="85" w:type="dxa"/>
              <w:bottom w:w="70" w:type="dxa"/>
              <w:right w:w="85" w:type="dxa"/>
            </w:tcMar>
            <w:vAlign w:val="center"/>
          </w:tcPr>
          <w:p w14:paraId="34AA36D0" w14:textId="77777777" w:rsidR="003357E9" w:rsidRPr="00BA4F7F" w:rsidRDefault="00000000">
            <w:pPr>
              <w:spacing w:after="0"/>
            </w:pPr>
            <w:r w:rsidRPr="00BA4F7F">
              <w:rPr>
                <w:color w:val="1E1E1E"/>
                <w:sz w:val="15"/>
              </w:rPr>
              <w:t>poprawa koordynacji bez wzrostu napięć i kosztów społecznych</w:t>
            </w:r>
          </w:p>
        </w:tc>
      </w:tr>
      <w:tr w:rsidR="003357E9" w:rsidRPr="00BA4F7F" w14:paraId="0F85D25A" w14:textId="77777777">
        <w:trPr>
          <w:cantSplit/>
          <w:jc w:val="center"/>
        </w:trPr>
        <w:tc>
          <w:tcPr>
            <w:tcW w:w="1296" w:type="dxa"/>
            <w:tcMar>
              <w:top w:w="70" w:type="dxa"/>
              <w:left w:w="85" w:type="dxa"/>
              <w:bottom w:w="70" w:type="dxa"/>
              <w:right w:w="85" w:type="dxa"/>
            </w:tcMar>
            <w:vAlign w:val="center"/>
          </w:tcPr>
          <w:p w14:paraId="4FF01CE0" w14:textId="77777777" w:rsidR="003357E9" w:rsidRPr="00BA4F7F" w:rsidRDefault="00000000">
            <w:pPr>
              <w:spacing w:after="0"/>
            </w:pPr>
            <w:r w:rsidRPr="00BA4F7F">
              <w:rPr>
                <w:color w:val="1E1E1E"/>
                <w:sz w:val="15"/>
              </w:rPr>
              <w:t>&gt;5 lat</w:t>
            </w:r>
          </w:p>
        </w:tc>
        <w:tc>
          <w:tcPr>
            <w:tcW w:w="4680" w:type="dxa"/>
            <w:tcMar>
              <w:top w:w="70" w:type="dxa"/>
              <w:left w:w="85" w:type="dxa"/>
              <w:bottom w:w="70" w:type="dxa"/>
              <w:right w:w="85" w:type="dxa"/>
            </w:tcMar>
            <w:vAlign w:val="center"/>
          </w:tcPr>
          <w:p w14:paraId="499095CB" w14:textId="77777777" w:rsidR="003357E9" w:rsidRPr="00BA4F7F" w:rsidRDefault="00000000">
            <w:pPr>
              <w:spacing w:after="0"/>
            </w:pPr>
            <w:r w:rsidRPr="00BA4F7F">
              <w:rPr>
                <w:color w:val="1E1E1E"/>
                <w:sz w:val="15"/>
              </w:rPr>
              <w:t>odporność granicy, samorządów i usług publicznych na długotrwałą presję hybrydową</w:t>
            </w:r>
          </w:p>
        </w:tc>
        <w:tc>
          <w:tcPr>
            <w:tcW w:w="3528" w:type="dxa"/>
            <w:tcMar>
              <w:top w:w="70" w:type="dxa"/>
              <w:left w:w="85" w:type="dxa"/>
              <w:bottom w:w="70" w:type="dxa"/>
              <w:right w:w="85" w:type="dxa"/>
            </w:tcMar>
            <w:vAlign w:val="center"/>
          </w:tcPr>
          <w:p w14:paraId="4ACF5893" w14:textId="77777777" w:rsidR="003357E9" w:rsidRPr="00BA4F7F" w:rsidRDefault="00000000">
            <w:pPr>
              <w:spacing w:after="0"/>
            </w:pPr>
            <w:r w:rsidRPr="00BA4F7F">
              <w:rPr>
                <w:color w:val="1E1E1E"/>
                <w:sz w:val="15"/>
              </w:rPr>
              <w:t>zdolność utrzymania kontroli przy zachowaniu legalności, proporcjonalności i akceptacji społecznej</w:t>
            </w:r>
          </w:p>
        </w:tc>
      </w:tr>
    </w:tbl>
    <w:p w14:paraId="1BE37D19" w14:textId="77777777" w:rsidR="003357E9" w:rsidRPr="00BA4F7F" w:rsidRDefault="00000000">
      <w:r w:rsidRPr="00BA4F7F">
        <w:rPr>
          <w:b/>
          <w:color w:val="1F4E79"/>
        </w:rPr>
        <w:t>Wniosek.</w:t>
      </w:r>
      <w:r w:rsidRPr="00BA4F7F">
        <w:t xml:space="preserve"> Komponent może pozostawać powyżej 60 pkt, a jednocześnie wymagać interwencji. Alert dynamiczny ostrzega nie przed brakiem zdolności dzisiaj, lecz przed utratą przewagi operacyjnej, jeżeli niespójna trajektoria będzie kontynuowana.</w:t>
      </w:r>
    </w:p>
    <w:p w14:paraId="0142D69E" w14:textId="77777777" w:rsidR="003357E9" w:rsidRPr="00BA4F7F" w:rsidRDefault="00000000">
      <w:pPr>
        <w:pStyle w:val="Nagwek2"/>
      </w:pPr>
      <w:r w:rsidRPr="00BA4F7F">
        <w:t>14B.5. Klaster demograficzny – krytyczny poziom i podwójna bezwładność</w:t>
      </w:r>
    </w:p>
    <w:p w14:paraId="7C301727" w14:textId="77777777" w:rsidR="003357E9" w:rsidRPr="00BA4F7F" w:rsidRDefault="00000000">
      <w:pPr>
        <w:pStyle w:val="Lead"/>
        <w:rPr>
          <w:lang w:val="pl-PL"/>
        </w:rPr>
      </w:pPr>
      <w:r w:rsidRPr="00BA4F7F">
        <w:rPr>
          <w:lang w:val="pl-PL"/>
        </w:rPr>
        <w:t>Demografia wynosi 29,4 pkt, Dzietność 6,0 pkt, a Aktywność państwa wobec kryzysu demograficznego 46,0 pkt. Wszystkie trzy elementy tworzą spójny klaster ostrzegawczy.</w:t>
      </w:r>
    </w:p>
    <w:p w14:paraId="5BF5365E" w14:textId="77777777" w:rsidR="003357E9" w:rsidRPr="00BA4F7F" w:rsidRDefault="00000000">
      <w:r w:rsidRPr="00BA4F7F">
        <w:t>Demografia pozostaje poniżej 40 pkt i w ruchomym okresie trzyletnim spadła o 15,7 pkt. Dzietność jest krytyczna, pogarsza się strukturalnie i od trzech lat pozostaje poniżej 50 pkt. Aktywność państwa również spełnia warunek pogorszenia strukturalnego, ponieważ spadła od 2022 r. o 12,8 pkt.</w:t>
      </w:r>
    </w:p>
    <w:p w14:paraId="69339B9F" w14:textId="77777777" w:rsidR="003357E9" w:rsidRPr="00BA4F7F" w:rsidRDefault="00000000">
      <w:r w:rsidRPr="00BA4F7F">
        <w:t>Model pokazuje rozbieżność między wysokim wsparciem ekonomicznym rodzin a słabym ograniczaniem barier. Transfer może ograniczać ubóstwo i podtrzymywać dochód, ale nie zastępuje dostępnego mieszkania, zdrowia prokreacyjnego, opieki, stabilnej pracy, przewidywalności i społecznego znaczenia trwałej rodziny.</w:t>
      </w:r>
    </w:p>
    <w:p w14:paraId="7BE61D0B" w14:textId="77777777" w:rsidR="003357E9" w:rsidRPr="00BA4F7F" w:rsidRDefault="00000000">
      <w:r w:rsidRPr="00BA4F7F">
        <w:t>Zagrożenie jest systemowe i samowzmacniające. Mniejszy rocznik zmniejsza przyszłą podaż pracy, bazę podatkową i liczbę potencjalnych rodziców. GUS w danych za pierwszy kwartał 2026 r. nie odnotował odbicia liczby urodzeń; nowsze obserwacje nie podważają kierunku diagnozy zawartej w modelu.</w:t>
      </w:r>
    </w:p>
    <w:tbl>
      <w:tblPr>
        <w:tblStyle w:val="Tabela-Siatka"/>
        <w:tblW w:w="0" w:type="auto"/>
        <w:jc w:val="center"/>
        <w:tblLook w:val="04A0" w:firstRow="1" w:lastRow="0" w:firstColumn="1" w:lastColumn="0" w:noHBand="0" w:noVBand="1"/>
      </w:tblPr>
      <w:tblGrid>
        <w:gridCol w:w="1296"/>
        <w:gridCol w:w="4680"/>
        <w:gridCol w:w="3528"/>
      </w:tblGrid>
      <w:tr w:rsidR="003357E9" w:rsidRPr="00BA4F7F" w14:paraId="444C2F17" w14:textId="77777777">
        <w:trPr>
          <w:cantSplit/>
          <w:tblHeader/>
          <w:jc w:val="center"/>
        </w:trPr>
        <w:tc>
          <w:tcPr>
            <w:tcW w:w="1296" w:type="dxa"/>
            <w:shd w:val="clear" w:color="auto" w:fill="1F4E79"/>
            <w:tcMar>
              <w:top w:w="70" w:type="dxa"/>
              <w:left w:w="85" w:type="dxa"/>
              <w:bottom w:w="70" w:type="dxa"/>
              <w:right w:w="85" w:type="dxa"/>
            </w:tcMar>
            <w:vAlign w:val="center"/>
          </w:tcPr>
          <w:p w14:paraId="45F5199E" w14:textId="77777777" w:rsidR="003357E9" w:rsidRPr="00BA4F7F" w:rsidRDefault="00000000">
            <w:pPr>
              <w:spacing w:after="0"/>
              <w:jc w:val="center"/>
            </w:pPr>
            <w:r w:rsidRPr="00BA4F7F">
              <w:rPr>
                <w:b/>
                <w:color w:val="FFFFFF"/>
                <w:sz w:val="15"/>
              </w:rPr>
              <w:t>Horyzont</w:t>
            </w:r>
          </w:p>
        </w:tc>
        <w:tc>
          <w:tcPr>
            <w:tcW w:w="4680" w:type="dxa"/>
            <w:shd w:val="clear" w:color="auto" w:fill="1F4E79"/>
            <w:tcMar>
              <w:top w:w="70" w:type="dxa"/>
              <w:left w:w="85" w:type="dxa"/>
              <w:bottom w:w="70" w:type="dxa"/>
              <w:right w:w="85" w:type="dxa"/>
            </w:tcMar>
            <w:vAlign w:val="center"/>
          </w:tcPr>
          <w:p w14:paraId="66E4AE85" w14:textId="77777777" w:rsidR="003357E9" w:rsidRPr="00BA4F7F" w:rsidRDefault="00000000">
            <w:pPr>
              <w:spacing w:after="0"/>
              <w:jc w:val="center"/>
            </w:pPr>
            <w:r w:rsidRPr="00BA4F7F">
              <w:rPr>
                <w:b/>
                <w:color w:val="FFFFFF"/>
                <w:sz w:val="15"/>
              </w:rPr>
              <w:t>Działanie mitygujące</w:t>
            </w:r>
          </w:p>
        </w:tc>
        <w:tc>
          <w:tcPr>
            <w:tcW w:w="3528" w:type="dxa"/>
            <w:shd w:val="clear" w:color="auto" w:fill="1F4E79"/>
            <w:tcMar>
              <w:top w:w="70" w:type="dxa"/>
              <w:left w:w="85" w:type="dxa"/>
              <w:bottom w:w="70" w:type="dxa"/>
              <w:right w:w="85" w:type="dxa"/>
            </w:tcMar>
            <w:vAlign w:val="center"/>
          </w:tcPr>
          <w:p w14:paraId="6E080246" w14:textId="77777777" w:rsidR="003357E9" w:rsidRPr="00BA4F7F" w:rsidRDefault="00000000">
            <w:pPr>
              <w:spacing w:after="0"/>
              <w:jc w:val="center"/>
            </w:pPr>
            <w:r w:rsidRPr="00BA4F7F">
              <w:rPr>
                <w:b/>
                <w:color w:val="FFFFFF"/>
                <w:sz w:val="15"/>
              </w:rPr>
              <w:t>Warunek wiarygodnej poprawy</w:t>
            </w:r>
          </w:p>
        </w:tc>
      </w:tr>
      <w:tr w:rsidR="003357E9" w:rsidRPr="00BA4F7F" w14:paraId="11DC5019" w14:textId="77777777">
        <w:trPr>
          <w:cantSplit/>
          <w:jc w:val="center"/>
        </w:trPr>
        <w:tc>
          <w:tcPr>
            <w:tcW w:w="1296" w:type="dxa"/>
            <w:tcMar>
              <w:top w:w="70" w:type="dxa"/>
              <w:left w:w="85" w:type="dxa"/>
              <w:bottom w:w="70" w:type="dxa"/>
              <w:right w:w="85" w:type="dxa"/>
            </w:tcMar>
            <w:vAlign w:val="center"/>
          </w:tcPr>
          <w:p w14:paraId="39B76258" w14:textId="77777777" w:rsidR="003357E9" w:rsidRPr="00BA4F7F" w:rsidRDefault="00000000">
            <w:pPr>
              <w:spacing w:after="0"/>
            </w:pPr>
            <w:r w:rsidRPr="00BA4F7F">
              <w:rPr>
                <w:color w:val="1E1E1E"/>
                <w:sz w:val="15"/>
              </w:rPr>
              <w:t>1–2 lata</w:t>
            </w:r>
          </w:p>
        </w:tc>
        <w:tc>
          <w:tcPr>
            <w:tcW w:w="4680" w:type="dxa"/>
            <w:tcMar>
              <w:top w:w="70" w:type="dxa"/>
              <w:left w:w="85" w:type="dxa"/>
              <w:bottom w:w="70" w:type="dxa"/>
              <w:right w:w="85" w:type="dxa"/>
            </w:tcMar>
            <w:vAlign w:val="center"/>
          </w:tcPr>
          <w:p w14:paraId="4B448D67" w14:textId="77777777" w:rsidR="003357E9" w:rsidRPr="00BA4F7F" w:rsidRDefault="00000000">
            <w:pPr>
              <w:spacing w:after="0"/>
            </w:pPr>
            <w:r w:rsidRPr="00BA4F7F">
              <w:rPr>
                <w:color w:val="1E1E1E"/>
                <w:sz w:val="15"/>
              </w:rPr>
              <w:t>jeden właściciel wyniku, audyt barier decyzji rodzinnych, dostępność świadczeń zdrowotnych i opieki oraz stabilne reguły wsparcia</w:t>
            </w:r>
          </w:p>
        </w:tc>
        <w:tc>
          <w:tcPr>
            <w:tcW w:w="3528" w:type="dxa"/>
            <w:tcMar>
              <w:top w:w="70" w:type="dxa"/>
              <w:left w:w="85" w:type="dxa"/>
              <w:bottom w:w="70" w:type="dxa"/>
              <w:right w:w="85" w:type="dxa"/>
            </w:tcMar>
            <w:vAlign w:val="center"/>
          </w:tcPr>
          <w:p w14:paraId="1FF1948B" w14:textId="77777777" w:rsidR="003357E9" w:rsidRPr="00BA4F7F" w:rsidRDefault="00000000">
            <w:pPr>
              <w:spacing w:after="0"/>
            </w:pPr>
            <w:r w:rsidRPr="00BA4F7F">
              <w:rPr>
                <w:color w:val="1E1E1E"/>
                <w:sz w:val="15"/>
              </w:rPr>
              <w:t>poprawa mierników barier, dostępności i intencji rodzinnych</w:t>
            </w:r>
          </w:p>
        </w:tc>
      </w:tr>
      <w:tr w:rsidR="003357E9" w:rsidRPr="00BA4F7F" w14:paraId="17EDC948" w14:textId="77777777">
        <w:trPr>
          <w:cantSplit/>
          <w:jc w:val="center"/>
        </w:trPr>
        <w:tc>
          <w:tcPr>
            <w:tcW w:w="1296" w:type="dxa"/>
            <w:shd w:val="clear" w:color="auto" w:fill="EDF1F4"/>
            <w:tcMar>
              <w:top w:w="70" w:type="dxa"/>
              <w:left w:w="85" w:type="dxa"/>
              <w:bottom w:w="70" w:type="dxa"/>
              <w:right w:w="85" w:type="dxa"/>
            </w:tcMar>
            <w:vAlign w:val="center"/>
          </w:tcPr>
          <w:p w14:paraId="4BF97A04" w14:textId="77777777" w:rsidR="003357E9" w:rsidRPr="00BA4F7F" w:rsidRDefault="00000000">
            <w:pPr>
              <w:spacing w:after="0"/>
            </w:pPr>
            <w:r w:rsidRPr="00BA4F7F">
              <w:rPr>
                <w:color w:val="1E1E1E"/>
                <w:sz w:val="15"/>
              </w:rPr>
              <w:t>3–5 lat</w:t>
            </w:r>
          </w:p>
        </w:tc>
        <w:tc>
          <w:tcPr>
            <w:tcW w:w="4680" w:type="dxa"/>
            <w:shd w:val="clear" w:color="auto" w:fill="EDF1F4"/>
            <w:tcMar>
              <w:top w:w="70" w:type="dxa"/>
              <w:left w:w="85" w:type="dxa"/>
              <w:bottom w:w="70" w:type="dxa"/>
              <w:right w:w="85" w:type="dxa"/>
            </w:tcMar>
            <w:vAlign w:val="center"/>
          </w:tcPr>
          <w:p w14:paraId="3CCAC85D" w14:textId="77777777" w:rsidR="003357E9" w:rsidRPr="00BA4F7F" w:rsidRDefault="00000000">
            <w:pPr>
              <w:spacing w:after="0"/>
            </w:pPr>
            <w:r w:rsidRPr="00BA4F7F">
              <w:rPr>
                <w:color w:val="1E1E1E"/>
                <w:sz w:val="15"/>
              </w:rPr>
              <w:t>polityka mieszkaniowa dla młodych rodzin, godzenie pracy z rodzicielstwem, rozwój opieki i zdrowia prokreacyjnego oraz ewaluacja instrumentów</w:t>
            </w:r>
          </w:p>
        </w:tc>
        <w:tc>
          <w:tcPr>
            <w:tcW w:w="3528" w:type="dxa"/>
            <w:shd w:val="clear" w:color="auto" w:fill="EDF1F4"/>
            <w:tcMar>
              <w:top w:w="70" w:type="dxa"/>
              <w:left w:w="85" w:type="dxa"/>
              <w:bottom w:w="70" w:type="dxa"/>
              <w:right w:w="85" w:type="dxa"/>
            </w:tcMar>
            <w:vAlign w:val="center"/>
          </w:tcPr>
          <w:p w14:paraId="4A757A9E" w14:textId="77777777" w:rsidR="003357E9" w:rsidRPr="00BA4F7F" w:rsidRDefault="00000000">
            <w:pPr>
              <w:spacing w:after="0"/>
            </w:pPr>
            <w:r w:rsidRPr="00BA4F7F">
              <w:rPr>
                <w:color w:val="1E1E1E"/>
                <w:sz w:val="15"/>
              </w:rPr>
              <w:t>zahamowanie spadku TFR i urodzeń po korekcie o liczbę kobiet w wieku rozrodczym</w:t>
            </w:r>
          </w:p>
        </w:tc>
      </w:tr>
      <w:tr w:rsidR="003357E9" w:rsidRPr="00BA4F7F" w14:paraId="563702E7" w14:textId="77777777">
        <w:trPr>
          <w:cantSplit/>
          <w:jc w:val="center"/>
        </w:trPr>
        <w:tc>
          <w:tcPr>
            <w:tcW w:w="1296" w:type="dxa"/>
            <w:tcMar>
              <w:top w:w="70" w:type="dxa"/>
              <w:left w:w="85" w:type="dxa"/>
              <w:bottom w:w="70" w:type="dxa"/>
              <w:right w:w="85" w:type="dxa"/>
            </w:tcMar>
            <w:vAlign w:val="center"/>
          </w:tcPr>
          <w:p w14:paraId="184F8662" w14:textId="77777777" w:rsidR="003357E9" w:rsidRPr="00BA4F7F" w:rsidRDefault="00000000">
            <w:pPr>
              <w:spacing w:after="0"/>
            </w:pPr>
            <w:r w:rsidRPr="00BA4F7F">
              <w:rPr>
                <w:color w:val="1E1E1E"/>
                <w:sz w:val="15"/>
              </w:rPr>
              <w:t>&gt;5 lat</w:t>
            </w:r>
          </w:p>
        </w:tc>
        <w:tc>
          <w:tcPr>
            <w:tcW w:w="4680" w:type="dxa"/>
            <w:tcMar>
              <w:top w:w="70" w:type="dxa"/>
              <w:left w:w="85" w:type="dxa"/>
              <w:bottom w:w="70" w:type="dxa"/>
              <w:right w:w="85" w:type="dxa"/>
            </w:tcMar>
            <w:vAlign w:val="center"/>
          </w:tcPr>
          <w:p w14:paraId="3DE30C0F" w14:textId="77777777" w:rsidR="003357E9" w:rsidRPr="00BA4F7F" w:rsidRDefault="00000000">
            <w:pPr>
              <w:spacing w:after="0"/>
            </w:pPr>
            <w:r w:rsidRPr="00BA4F7F">
              <w:rPr>
                <w:color w:val="1E1E1E"/>
                <w:sz w:val="15"/>
              </w:rPr>
              <w:t>spójna polityka rodzinna, migracyjna, rynku pracy, edukacji i usług publicznych z horyzontem 10–25 lat</w:t>
            </w:r>
          </w:p>
        </w:tc>
        <w:tc>
          <w:tcPr>
            <w:tcW w:w="3528" w:type="dxa"/>
            <w:tcMar>
              <w:top w:w="70" w:type="dxa"/>
              <w:left w:w="85" w:type="dxa"/>
              <w:bottom w:w="70" w:type="dxa"/>
              <w:right w:w="85" w:type="dxa"/>
            </w:tcMar>
            <w:vAlign w:val="center"/>
          </w:tcPr>
          <w:p w14:paraId="4A52669A" w14:textId="77777777" w:rsidR="003357E9" w:rsidRPr="00BA4F7F" w:rsidRDefault="00000000">
            <w:pPr>
              <w:spacing w:after="0"/>
            </w:pPr>
            <w:r w:rsidRPr="00BA4F7F">
              <w:rPr>
                <w:color w:val="1E1E1E"/>
                <w:sz w:val="15"/>
              </w:rPr>
              <w:t>stabilizacja struktury wieku, podaży pracy i ścieżki ludnościowej</w:t>
            </w:r>
          </w:p>
        </w:tc>
      </w:tr>
    </w:tbl>
    <w:p w14:paraId="17773369" w14:textId="77777777" w:rsidR="003357E9" w:rsidRPr="00BA4F7F" w:rsidRDefault="00000000">
      <w:r w:rsidRPr="00BA4F7F">
        <w:rPr>
          <w:b/>
          <w:color w:val="1F4E79"/>
        </w:rPr>
        <w:t>Wniosek.</w:t>
      </w:r>
      <w:r w:rsidRPr="00BA4F7F">
        <w:t xml:space="preserve"> Demografia jest najtwardszym testem jakości państwa, ponieważ wynik powstaje na styku wielu polityk i zaufania do przyszłości. Utraconego rocznika nie można odtworzyć późniejszym wydatkiem; można jedynie zmienić trajektorię kolejnych roczników.</w:t>
      </w:r>
    </w:p>
    <w:p w14:paraId="52FBEE4D" w14:textId="77777777" w:rsidR="003357E9" w:rsidRPr="00BA4F7F" w:rsidRDefault="00000000">
      <w:pPr>
        <w:pStyle w:val="Nagwek2"/>
      </w:pPr>
      <w:r w:rsidRPr="00BA4F7F">
        <w:t>14B.6. Integracja i kapitał społeczny – słaba infrastruktura codziennej współpracy</w:t>
      </w:r>
    </w:p>
    <w:p w14:paraId="25F1F1CA" w14:textId="77777777" w:rsidR="003357E9" w:rsidRPr="00BA4F7F" w:rsidRDefault="00000000">
      <w:pPr>
        <w:pStyle w:val="Lead"/>
        <w:rPr>
          <w:lang w:val="pl-PL"/>
        </w:rPr>
      </w:pPr>
      <w:r w:rsidRPr="00BA4F7F">
        <w:rPr>
          <w:lang w:val="pl-PL"/>
        </w:rPr>
        <w:t>Integracja i kapitał społeczny osiągają 38,0 pkt, co uruchamia alert wysokiego ryzyka; trzy ostatnie wyniki są niższe niż 50 pkt, dlatego występuje także sygnał trwałej słabości.</w:t>
      </w:r>
    </w:p>
    <w:p w14:paraId="4DD5A8D9" w14:textId="77777777" w:rsidR="003357E9" w:rsidRPr="00BA4F7F" w:rsidRDefault="00000000">
      <w:r w:rsidRPr="00BA4F7F">
        <w:t>Wynik nie oznacza braku solidarności. Polska wykazała wysoką zdolność mobilizacji podczas pandemii, wojny i napływu uchodźców. Problem dotyczy trwałej współpracy poza sytuacją jednoznacznego zagrożenia: zaufania uogólnionego, poczucia wpływu, integracji oraz kosztów napięć dla instytucji.</w:t>
      </w:r>
    </w:p>
    <w:p w14:paraId="18BB7E34" w14:textId="77777777" w:rsidR="003357E9" w:rsidRPr="00BA4F7F" w:rsidRDefault="00000000">
      <w:r w:rsidRPr="00BA4F7F">
        <w:t>Niski kapitał społeczny podnosi koszt niemal każdej polityki. Państwo częściej musi zastępować zaufanie kontrolą, transferem albo polityczną mobilizacją. Utrudnia to reformy wymagające wyrzeczeń, przygotowanie ludności do kryzysu, integrację migrantów i budowanie porozumienia ponad kadencjami.</w:t>
      </w:r>
    </w:p>
    <w:p w14:paraId="6BE53D8C" w14:textId="77777777" w:rsidR="003357E9" w:rsidRPr="00BA4F7F" w:rsidRDefault="00000000">
      <w:r w:rsidRPr="00BA4F7F">
        <w:lastRenderedPageBreak/>
        <w:t>OECD w badaniu z 2026 r. wskazuje, że zaufanie w Polsce jest wyższe wobec policji i administracji niż wobec instytucji politycznych; tylko 20% badanych deklarowało wysokie lub umiarkowanie wysokie zaufanie do partii politycznych, a 34% do służby cywilnej. Potwierdza to asymetrię między sprawnością operacyjną a zaufaniem do mechanizmów reprezentacji i długofalowego podejmowania decyzji.</w:t>
      </w:r>
    </w:p>
    <w:tbl>
      <w:tblPr>
        <w:tblStyle w:val="Tabela-Siatka"/>
        <w:tblW w:w="0" w:type="auto"/>
        <w:jc w:val="center"/>
        <w:tblLook w:val="04A0" w:firstRow="1" w:lastRow="0" w:firstColumn="1" w:lastColumn="0" w:noHBand="0" w:noVBand="1"/>
      </w:tblPr>
      <w:tblGrid>
        <w:gridCol w:w="1296"/>
        <w:gridCol w:w="4680"/>
        <w:gridCol w:w="3528"/>
      </w:tblGrid>
      <w:tr w:rsidR="003357E9" w:rsidRPr="00BA4F7F" w14:paraId="12DCCCE8" w14:textId="77777777">
        <w:trPr>
          <w:cantSplit/>
          <w:tblHeader/>
          <w:jc w:val="center"/>
        </w:trPr>
        <w:tc>
          <w:tcPr>
            <w:tcW w:w="1296" w:type="dxa"/>
            <w:shd w:val="clear" w:color="auto" w:fill="1F4E79"/>
            <w:tcMar>
              <w:top w:w="70" w:type="dxa"/>
              <w:left w:w="85" w:type="dxa"/>
              <w:bottom w:w="70" w:type="dxa"/>
              <w:right w:w="85" w:type="dxa"/>
            </w:tcMar>
            <w:vAlign w:val="center"/>
          </w:tcPr>
          <w:p w14:paraId="54770797" w14:textId="77777777" w:rsidR="003357E9" w:rsidRPr="00BA4F7F" w:rsidRDefault="00000000">
            <w:pPr>
              <w:spacing w:after="0"/>
              <w:jc w:val="center"/>
            </w:pPr>
            <w:r w:rsidRPr="00BA4F7F">
              <w:rPr>
                <w:b/>
                <w:color w:val="FFFFFF"/>
                <w:sz w:val="15"/>
              </w:rPr>
              <w:t>Horyzont</w:t>
            </w:r>
          </w:p>
        </w:tc>
        <w:tc>
          <w:tcPr>
            <w:tcW w:w="4680" w:type="dxa"/>
            <w:shd w:val="clear" w:color="auto" w:fill="1F4E79"/>
            <w:tcMar>
              <w:top w:w="70" w:type="dxa"/>
              <w:left w:w="85" w:type="dxa"/>
              <w:bottom w:w="70" w:type="dxa"/>
              <w:right w:w="85" w:type="dxa"/>
            </w:tcMar>
            <w:vAlign w:val="center"/>
          </w:tcPr>
          <w:p w14:paraId="756AFCB3" w14:textId="77777777" w:rsidR="003357E9" w:rsidRPr="00BA4F7F" w:rsidRDefault="00000000">
            <w:pPr>
              <w:spacing w:after="0"/>
              <w:jc w:val="center"/>
            </w:pPr>
            <w:r w:rsidRPr="00BA4F7F">
              <w:rPr>
                <w:b/>
                <w:color w:val="FFFFFF"/>
                <w:sz w:val="15"/>
              </w:rPr>
              <w:t>Działanie mitygujące</w:t>
            </w:r>
          </w:p>
        </w:tc>
        <w:tc>
          <w:tcPr>
            <w:tcW w:w="3528" w:type="dxa"/>
            <w:shd w:val="clear" w:color="auto" w:fill="1F4E79"/>
            <w:tcMar>
              <w:top w:w="70" w:type="dxa"/>
              <w:left w:w="85" w:type="dxa"/>
              <w:bottom w:w="70" w:type="dxa"/>
              <w:right w:w="85" w:type="dxa"/>
            </w:tcMar>
            <w:vAlign w:val="center"/>
          </w:tcPr>
          <w:p w14:paraId="246D5EDB" w14:textId="77777777" w:rsidR="003357E9" w:rsidRPr="00BA4F7F" w:rsidRDefault="00000000">
            <w:pPr>
              <w:spacing w:after="0"/>
              <w:jc w:val="center"/>
            </w:pPr>
            <w:r w:rsidRPr="00BA4F7F">
              <w:rPr>
                <w:b/>
                <w:color w:val="FFFFFF"/>
                <w:sz w:val="15"/>
              </w:rPr>
              <w:t>Warunek wiarygodnej poprawy</w:t>
            </w:r>
          </w:p>
        </w:tc>
      </w:tr>
      <w:tr w:rsidR="003357E9" w:rsidRPr="00BA4F7F" w14:paraId="40E8D2D5" w14:textId="77777777">
        <w:trPr>
          <w:cantSplit/>
          <w:jc w:val="center"/>
        </w:trPr>
        <w:tc>
          <w:tcPr>
            <w:tcW w:w="1296" w:type="dxa"/>
            <w:tcMar>
              <w:top w:w="70" w:type="dxa"/>
              <w:left w:w="85" w:type="dxa"/>
              <w:bottom w:w="70" w:type="dxa"/>
              <w:right w:w="85" w:type="dxa"/>
            </w:tcMar>
            <w:vAlign w:val="center"/>
          </w:tcPr>
          <w:p w14:paraId="3BAD8F7D" w14:textId="77777777" w:rsidR="003357E9" w:rsidRPr="00BA4F7F" w:rsidRDefault="00000000">
            <w:pPr>
              <w:spacing w:after="0"/>
            </w:pPr>
            <w:r w:rsidRPr="00BA4F7F">
              <w:rPr>
                <w:color w:val="1E1E1E"/>
                <w:sz w:val="15"/>
              </w:rPr>
              <w:t>1–2 lata</w:t>
            </w:r>
          </w:p>
        </w:tc>
        <w:tc>
          <w:tcPr>
            <w:tcW w:w="4680" w:type="dxa"/>
            <w:tcMar>
              <w:top w:w="70" w:type="dxa"/>
              <w:left w:w="85" w:type="dxa"/>
              <w:bottom w:w="70" w:type="dxa"/>
              <w:right w:w="85" w:type="dxa"/>
            </w:tcMar>
            <w:vAlign w:val="center"/>
          </w:tcPr>
          <w:p w14:paraId="0C667286" w14:textId="77777777" w:rsidR="003357E9" w:rsidRPr="00BA4F7F" w:rsidRDefault="00000000">
            <w:pPr>
              <w:spacing w:after="0"/>
            </w:pPr>
            <w:r w:rsidRPr="00BA4F7F">
              <w:rPr>
                <w:color w:val="1E1E1E"/>
                <w:sz w:val="15"/>
              </w:rPr>
              <w:t>stały pomiar zaufania i uczestnictwa, lokalne konsultacje, przejrzyste reguły integracji i konsekwentne egzekwowanie prawa</w:t>
            </w:r>
          </w:p>
        </w:tc>
        <w:tc>
          <w:tcPr>
            <w:tcW w:w="3528" w:type="dxa"/>
            <w:tcMar>
              <w:top w:w="70" w:type="dxa"/>
              <w:left w:w="85" w:type="dxa"/>
              <w:bottom w:w="70" w:type="dxa"/>
              <w:right w:w="85" w:type="dxa"/>
            </w:tcMar>
            <w:vAlign w:val="center"/>
          </w:tcPr>
          <w:p w14:paraId="5144366D" w14:textId="77777777" w:rsidR="003357E9" w:rsidRPr="00BA4F7F" w:rsidRDefault="00000000">
            <w:pPr>
              <w:spacing w:after="0"/>
            </w:pPr>
            <w:r w:rsidRPr="00BA4F7F">
              <w:rPr>
                <w:color w:val="1E1E1E"/>
                <w:sz w:val="15"/>
              </w:rPr>
              <w:t>mniejsza zmienność napięć i większe poczucie wpływu na sprawy lokalne</w:t>
            </w:r>
          </w:p>
        </w:tc>
      </w:tr>
      <w:tr w:rsidR="003357E9" w:rsidRPr="00BA4F7F" w14:paraId="0C48A9B5" w14:textId="77777777">
        <w:trPr>
          <w:cantSplit/>
          <w:jc w:val="center"/>
        </w:trPr>
        <w:tc>
          <w:tcPr>
            <w:tcW w:w="1296" w:type="dxa"/>
            <w:shd w:val="clear" w:color="auto" w:fill="EDF1F4"/>
            <w:tcMar>
              <w:top w:w="70" w:type="dxa"/>
              <w:left w:w="85" w:type="dxa"/>
              <w:bottom w:w="70" w:type="dxa"/>
              <w:right w:w="85" w:type="dxa"/>
            </w:tcMar>
            <w:vAlign w:val="center"/>
          </w:tcPr>
          <w:p w14:paraId="3EED0A0C" w14:textId="77777777" w:rsidR="003357E9" w:rsidRPr="00BA4F7F" w:rsidRDefault="00000000">
            <w:pPr>
              <w:spacing w:after="0"/>
            </w:pPr>
            <w:r w:rsidRPr="00BA4F7F">
              <w:rPr>
                <w:color w:val="1E1E1E"/>
                <w:sz w:val="15"/>
              </w:rPr>
              <w:t>3–5 lat</w:t>
            </w:r>
          </w:p>
        </w:tc>
        <w:tc>
          <w:tcPr>
            <w:tcW w:w="4680" w:type="dxa"/>
            <w:shd w:val="clear" w:color="auto" w:fill="EDF1F4"/>
            <w:tcMar>
              <w:top w:w="70" w:type="dxa"/>
              <w:left w:w="85" w:type="dxa"/>
              <w:bottom w:w="70" w:type="dxa"/>
              <w:right w:w="85" w:type="dxa"/>
            </w:tcMar>
            <w:vAlign w:val="center"/>
          </w:tcPr>
          <w:p w14:paraId="26A751F1" w14:textId="77777777" w:rsidR="003357E9" w:rsidRPr="00BA4F7F" w:rsidRDefault="00000000">
            <w:pPr>
              <w:spacing w:after="0"/>
            </w:pPr>
            <w:r w:rsidRPr="00BA4F7F">
              <w:rPr>
                <w:color w:val="1E1E1E"/>
                <w:sz w:val="15"/>
              </w:rPr>
              <w:t>wzmacnianie samorządów, OSP, stowarzyszeń, parafii i innych instytucji pośrednich oraz ćwiczenia wspólnego reagowania</w:t>
            </w:r>
          </w:p>
        </w:tc>
        <w:tc>
          <w:tcPr>
            <w:tcW w:w="3528" w:type="dxa"/>
            <w:shd w:val="clear" w:color="auto" w:fill="EDF1F4"/>
            <w:tcMar>
              <w:top w:w="70" w:type="dxa"/>
              <w:left w:w="85" w:type="dxa"/>
              <w:bottom w:w="70" w:type="dxa"/>
              <w:right w:w="85" w:type="dxa"/>
            </w:tcMar>
            <w:vAlign w:val="center"/>
          </w:tcPr>
          <w:p w14:paraId="7BFF4D62" w14:textId="77777777" w:rsidR="003357E9" w:rsidRPr="00BA4F7F" w:rsidRDefault="00000000">
            <w:pPr>
              <w:spacing w:after="0"/>
            </w:pPr>
            <w:r w:rsidRPr="00BA4F7F">
              <w:rPr>
                <w:color w:val="1E1E1E"/>
                <w:sz w:val="15"/>
              </w:rPr>
              <w:t>wzrost uczestnictwa, wolontariatu i zdolności współdziałania w praktyce</w:t>
            </w:r>
          </w:p>
        </w:tc>
      </w:tr>
      <w:tr w:rsidR="003357E9" w:rsidRPr="00BA4F7F" w14:paraId="07276983" w14:textId="77777777">
        <w:trPr>
          <w:cantSplit/>
          <w:jc w:val="center"/>
        </w:trPr>
        <w:tc>
          <w:tcPr>
            <w:tcW w:w="1296" w:type="dxa"/>
            <w:tcMar>
              <w:top w:w="70" w:type="dxa"/>
              <w:left w:w="85" w:type="dxa"/>
              <w:bottom w:w="70" w:type="dxa"/>
              <w:right w:w="85" w:type="dxa"/>
            </w:tcMar>
            <w:vAlign w:val="center"/>
          </w:tcPr>
          <w:p w14:paraId="5AA33708" w14:textId="77777777" w:rsidR="003357E9" w:rsidRPr="00BA4F7F" w:rsidRDefault="00000000">
            <w:pPr>
              <w:spacing w:after="0"/>
            </w:pPr>
            <w:r w:rsidRPr="00BA4F7F">
              <w:rPr>
                <w:color w:val="1E1E1E"/>
                <w:sz w:val="15"/>
              </w:rPr>
              <w:t>&gt;5 lat</w:t>
            </w:r>
          </w:p>
        </w:tc>
        <w:tc>
          <w:tcPr>
            <w:tcW w:w="4680" w:type="dxa"/>
            <w:tcMar>
              <w:top w:w="70" w:type="dxa"/>
              <w:left w:w="85" w:type="dxa"/>
              <w:bottom w:w="70" w:type="dxa"/>
              <w:right w:w="85" w:type="dxa"/>
            </w:tcMar>
            <w:vAlign w:val="center"/>
          </w:tcPr>
          <w:p w14:paraId="4283032D" w14:textId="77777777" w:rsidR="003357E9" w:rsidRPr="00BA4F7F" w:rsidRDefault="00000000">
            <w:pPr>
              <w:spacing w:after="0"/>
            </w:pPr>
            <w:r w:rsidRPr="00BA4F7F">
              <w:rPr>
                <w:color w:val="1E1E1E"/>
                <w:sz w:val="15"/>
              </w:rPr>
              <w:t>trwała edukacja obywatelska, odbudowa zaufania do reguł i rozwój infrastruktury wspólnotowej</w:t>
            </w:r>
          </w:p>
        </w:tc>
        <w:tc>
          <w:tcPr>
            <w:tcW w:w="3528" w:type="dxa"/>
            <w:tcMar>
              <w:top w:w="70" w:type="dxa"/>
              <w:left w:w="85" w:type="dxa"/>
              <w:bottom w:w="70" w:type="dxa"/>
              <w:right w:w="85" w:type="dxa"/>
            </w:tcMar>
            <w:vAlign w:val="center"/>
          </w:tcPr>
          <w:p w14:paraId="371DA3F3" w14:textId="77777777" w:rsidR="003357E9" w:rsidRPr="00BA4F7F" w:rsidRDefault="00000000">
            <w:pPr>
              <w:spacing w:after="0"/>
            </w:pPr>
            <w:r w:rsidRPr="00BA4F7F">
              <w:rPr>
                <w:color w:val="1E1E1E"/>
                <w:sz w:val="15"/>
              </w:rPr>
              <w:t xml:space="preserve">wieloletni wzrost zaufania uogólnionego i </w:t>
            </w:r>
            <w:proofErr w:type="spellStart"/>
            <w:r w:rsidRPr="00BA4F7F">
              <w:rPr>
                <w:color w:val="1E1E1E"/>
                <w:sz w:val="15"/>
              </w:rPr>
              <w:t>zachowań</w:t>
            </w:r>
            <w:proofErr w:type="spellEnd"/>
            <w:r w:rsidRPr="00BA4F7F">
              <w:rPr>
                <w:color w:val="1E1E1E"/>
                <w:sz w:val="15"/>
              </w:rPr>
              <w:t xml:space="preserve"> kooperacyjnych</w:t>
            </w:r>
          </w:p>
        </w:tc>
      </w:tr>
    </w:tbl>
    <w:p w14:paraId="0E077DF7" w14:textId="77777777" w:rsidR="003357E9" w:rsidRPr="00BA4F7F" w:rsidRDefault="00000000">
      <w:r w:rsidRPr="00BA4F7F">
        <w:rPr>
          <w:b/>
          <w:color w:val="1F4E79"/>
        </w:rPr>
        <w:t>Wniosek.</w:t>
      </w:r>
      <w:r w:rsidRPr="00BA4F7F">
        <w:t xml:space="preserve"> Polska posiada kapitał mobilizacyjny silniejszy niż kapitał rutynowej kooperacji. Jest to przewaga w krótkim kryzysie, lecz słabość przy reformach i zobowiązaniach wymagających codziennej współpracy przez wiele lat.</w:t>
      </w:r>
    </w:p>
    <w:p w14:paraId="5078291F" w14:textId="77777777" w:rsidR="003357E9" w:rsidRPr="00BA4F7F" w:rsidRDefault="00000000">
      <w:pPr>
        <w:pStyle w:val="Nagwek2"/>
      </w:pPr>
      <w:r w:rsidRPr="00BA4F7F">
        <w:t>14B.7. Ład instytucjonalny – wysoki koszt odwracalności decyzji</w:t>
      </w:r>
    </w:p>
    <w:p w14:paraId="2CCE738A" w14:textId="77777777" w:rsidR="003357E9" w:rsidRPr="00BA4F7F" w:rsidRDefault="00000000">
      <w:pPr>
        <w:pStyle w:val="Lead"/>
        <w:rPr>
          <w:lang w:val="pl-PL"/>
        </w:rPr>
      </w:pPr>
      <w:r w:rsidRPr="00BA4F7F">
        <w:rPr>
          <w:lang w:val="pl-PL"/>
        </w:rPr>
        <w:t>Ład instytucjonalny osiąga 34,7 pkt, pozostaje w strefie wysokiego ryzyka i spełnia warunek pogorszenia strukturalnego.</w:t>
      </w:r>
    </w:p>
    <w:p w14:paraId="0733307B" w14:textId="77777777" w:rsidR="003357E9" w:rsidRPr="00BA4F7F" w:rsidRDefault="00000000">
      <w:proofErr w:type="spellStart"/>
      <w:r w:rsidRPr="00BA4F7F">
        <w:t>Subindeks</w:t>
      </w:r>
      <w:proofErr w:type="spellEnd"/>
      <w:r w:rsidRPr="00BA4F7F">
        <w:t xml:space="preserve"> obniżył się w latach 2022–2025 o 14,1 pkt, a w dwóch ostatnich latach pozostawał poniżej 45 pkt. Model ocenia wspólną legalność, sprawność wykonania, stabilność i egzekwowalność prawa oraz jakość zmian regulacyjnych. Nie rozstrzyga prawnie konkretnych sporów i nie jest oceną jednej większości politycznej.</w:t>
      </w:r>
    </w:p>
    <w:p w14:paraId="51D78CC4" w14:textId="77777777" w:rsidR="003357E9" w:rsidRPr="00BA4F7F" w:rsidRDefault="00000000">
      <w:r w:rsidRPr="00BA4F7F">
        <w:t>Państwo zachowuje ciągłość techniczną: administracja działa, usługi są świadczone, a decyzje są wdrażane. Jednocześnie wzajemne kwestionowanie organów, odwracalność regulacji, słabe domykanie wdrożenia i ograniczona ewaluacja zwiększają ryzyko, że rezultat nie przetrwa zmiany większości albo kontroli sądowej.</w:t>
      </w:r>
    </w:p>
    <w:p w14:paraId="554009E0" w14:textId="77777777" w:rsidR="003357E9" w:rsidRPr="00BA4F7F" w:rsidRDefault="00000000">
      <w:r w:rsidRPr="00BA4F7F">
        <w:t>Koszt jest rozproszony. Przedsiębiorca skraca horyzont inwestycji, urzędnik unika odpowiedzialności, a projekt strategiczny jest projektowany tak, aby przetrwać konflikt instytucjonalny. Raport Komisji Europejskiej o praworządności z 17 lipca 2026 r. pozostawia Polskę przed zadaniem dalszego wzmacniania niezależności, skuteczności i przewidywalności mechanizmów wymiaru sprawiedliwości oraz równowagi instytucjonalnej.</w:t>
      </w:r>
    </w:p>
    <w:tbl>
      <w:tblPr>
        <w:tblStyle w:val="Tabela-Siatka"/>
        <w:tblW w:w="0" w:type="auto"/>
        <w:jc w:val="center"/>
        <w:tblLook w:val="04A0" w:firstRow="1" w:lastRow="0" w:firstColumn="1" w:lastColumn="0" w:noHBand="0" w:noVBand="1"/>
      </w:tblPr>
      <w:tblGrid>
        <w:gridCol w:w="1296"/>
        <w:gridCol w:w="4680"/>
        <w:gridCol w:w="3528"/>
      </w:tblGrid>
      <w:tr w:rsidR="003357E9" w:rsidRPr="00BA4F7F" w14:paraId="555F8FB2" w14:textId="77777777">
        <w:trPr>
          <w:cantSplit/>
          <w:tblHeader/>
          <w:jc w:val="center"/>
        </w:trPr>
        <w:tc>
          <w:tcPr>
            <w:tcW w:w="1296" w:type="dxa"/>
            <w:shd w:val="clear" w:color="auto" w:fill="1F4E79"/>
            <w:tcMar>
              <w:top w:w="70" w:type="dxa"/>
              <w:left w:w="85" w:type="dxa"/>
              <w:bottom w:w="70" w:type="dxa"/>
              <w:right w:w="85" w:type="dxa"/>
            </w:tcMar>
            <w:vAlign w:val="center"/>
          </w:tcPr>
          <w:p w14:paraId="14C7CBF1" w14:textId="77777777" w:rsidR="003357E9" w:rsidRPr="00BA4F7F" w:rsidRDefault="00000000">
            <w:pPr>
              <w:spacing w:after="0"/>
              <w:jc w:val="center"/>
            </w:pPr>
            <w:r w:rsidRPr="00BA4F7F">
              <w:rPr>
                <w:b/>
                <w:color w:val="FFFFFF"/>
                <w:sz w:val="15"/>
              </w:rPr>
              <w:t>Horyzont</w:t>
            </w:r>
          </w:p>
        </w:tc>
        <w:tc>
          <w:tcPr>
            <w:tcW w:w="4680" w:type="dxa"/>
            <w:shd w:val="clear" w:color="auto" w:fill="1F4E79"/>
            <w:tcMar>
              <w:top w:w="70" w:type="dxa"/>
              <w:left w:w="85" w:type="dxa"/>
              <w:bottom w:w="70" w:type="dxa"/>
              <w:right w:w="85" w:type="dxa"/>
            </w:tcMar>
            <w:vAlign w:val="center"/>
          </w:tcPr>
          <w:p w14:paraId="4FE78FCD" w14:textId="77777777" w:rsidR="003357E9" w:rsidRPr="00BA4F7F" w:rsidRDefault="00000000">
            <w:pPr>
              <w:spacing w:after="0"/>
              <w:jc w:val="center"/>
            </w:pPr>
            <w:r w:rsidRPr="00BA4F7F">
              <w:rPr>
                <w:b/>
                <w:color w:val="FFFFFF"/>
                <w:sz w:val="15"/>
              </w:rPr>
              <w:t>Działanie mitygujące</w:t>
            </w:r>
          </w:p>
        </w:tc>
        <w:tc>
          <w:tcPr>
            <w:tcW w:w="3528" w:type="dxa"/>
            <w:shd w:val="clear" w:color="auto" w:fill="1F4E79"/>
            <w:tcMar>
              <w:top w:w="70" w:type="dxa"/>
              <w:left w:w="85" w:type="dxa"/>
              <w:bottom w:w="70" w:type="dxa"/>
              <w:right w:w="85" w:type="dxa"/>
            </w:tcMar>
            <w:vAlign w:val="center"/>
          </w:tcPr>
          <w:p w14:paraId="01848E9B" w14:textId="77777777" w:rsidR="003357E9" w:rsidRPr="00BA4F7F" w:rsidRDefault="00000000">
            <w:pPr>
              <w:spacing w:after="0"/>
              <w:jc w:val="center"/>
            </w:pPr>
            <w:r w:rsidRPr="00BA4F7F">
              <w:rPr>
                <w:b/>
                <w:color w:val="FFFFFF"/>
                <w:sz w:val="15"/>
              </w:rPr>
              <w:t>Warunek wiarygodnej poprawy</w:t>
            </w:r>
          </w:p>
        </w:tc>
      </w:tr>
      <w:tr w:rsidR="003357E9" w:rsidRPr="00BA4F7F" w14:paraId="7CEFD1BC" w14:textId="77777777">
        <w:trPr>
          <w:cantSplit/>
          <w:jc w:val="center"/>
        </w:trPr>
        <w:tc>
          <w:tcPr>
            <w:tcW w:w="1296" w:type="dxa"/>
            <w:tcMar>
              <w:top w:w="70" w:type="dxa"/>
              <w:left w:w="85" w:type="dxa"/>
              <w:bottom w:w="70" w:type="dxa"/>
              <w:right w:w="85" w:type="dxa"/>
            </w:tcMar>
            <w:vAlign w:val="center"/>
          </w:tcPr>
          <w:p w14:paraId="4E189321" w14:textId="77777777" w:rsidR="003357E9" w:rsidRPr="00BA4F7F" w:rsidRDefault="00000000">
            <w:pPr>
              <w:spacing w:after="0"/>
            </w:pPr>
            <w:r w:rsidRPr="00BA4F7F">
              <w:rPr>
                <w:color w:val="1E1E1E"/>
                <w:sz w:val="15"/>
              </w:rPr>
              <w:t>1–2 lata</w:t>
            </w:r>
          </w:p>
        </w:tc>
        <w:tc>
          <w:tcPr>
            <w:tcW w:w="4680" w:type="dxa"/>
            <w:tcMar>
              <w:top w:w="70" w:type="dxa"/>
              <w:left w:w="85" w:type="dxa"/>
              <w:bottom w:w="70" w:type="dxa"/>
              <w:right w:w="85" w:type="dxa"/>
            </w:tcMar>
            <w:vAlign w:val="center"/>
          </w:tcPr>
          <w:p w14:paraId="1FD13AC6" w14:textId="77777777" w:rsidR="003357E9" w:rsidRPr="00BA4F7F" w:rsidRDefault="00000000">
            <w:pPr>
              <w:spacing w:after="0"/>
            </w:pPr>
            <w:r w:rsidRPr="00BA4F7F">
              <w:rPr>
                <w:color w:val="1E1E1E"/>
                <w:sz w:val="15"/>
              </w:rPr>
              <w:t>legalne i proporcjonalne domykanie najważniejszych sporów, ochrona praw nabytych, wykonywanie rozstrzygnięć i poprawa zasobów sądów</w:t>
            </w:r>
          </w:p>
        </w:tc>
        <w:tc>
          <w:tcPr>
            <w:tcW w:w="3528" w:type="dxa"/>
            <w:tcMar>
              <w:top w:w="70" w:type="dxa"/>
              <w:left w:w="85" w:type="dxa"/>
              <w:bottom w:w="70" w:type="dxa"/>
              <w:right w:w="85" w:type="dxa"/>
            </w:tcMar>
            <w:vAlign w:val="center"/>
          </w:tcPr>
          <w:p w14:paraId="38C872FB" w14:textId="77777777" w:rsidR="003357E9" w:rsidRPr="00BA4F7F" w:rsidRDefault="00000000">
            <w:pPr>
              <w:spacing w:after="0"/>
            </w:pPr>
            <w:r w:rsidRPr="00BA4F7F">
              <w:rPr>
                <w:color w:val="1E1E1E"/>
                <w:sz w:val="15"/>
              </w:rPr>
              <w:t>ograniczenie wzajemnego nieuznawania i stabilniejsze wykonywanie decyzji</w:t>
            </w:r>
          </w:p>
        </w:tc>
      </w:tr>
      <w:tr w:rsidR="003357E9" w:rsidRPr="00BA4F7F" w14:paraId="6BD5A31A" w14:textId="77777777">
        <w:trPr>
          <w:cantSplit/>
          <w:jc w:val="center"/>
        </w:trPr>
        <w:tc>
          <w:tcPr>
            <w:tcW w:w="1296" w:type="dxa"/>
            <w:shd w:val="clear" w:color="auto" w:fill="EDF1F4"/>
            <w:tcMar>
              <w:top w:w="70" w:type="dxa"/>
              <w:left w:w="85" w:type="dxa"/>
              <w:bottom w:w="70" w:type="dxa"/>
              <w:right w:w="85" w:type="dxa"/>
            </w:tcMar>
            <w:vAlign w:val="center"/>
          </w:tcPr>
          <w:p w14:paraId="174E0F3D" w14:textId="77777777" w:rsidR="003357E9" w:rsidRPr="00BA4F7F" w:rsidRDefault="00000000">
            <w:pPr>
              <w:spacing w:after="0"/>
            </w:pPr>
            <w:r w:rsidRPr="00BA4F7F">
              <w:rPr>
                <w:color w:val="1E1E1E"/>
                <w:sz w:val="15"/>
              </w:rPr>
              <w:t>3–5 lat</w:t>
            </w:r>
          </w:p>
        </w:tc>
        <w:tc>
          <w:tcPr>
            <w:tcW w:w="4680" w:type="dxa"/>
            <w:shd w:val="clear" w:color="auto" w:fill="EDF1F4"/>
            <w:tcMar>
              <w:top w:w="70" w:type="dxa"/>
              <w:left w:w="85" w:type="dxa"/>
              <w:bottom w:w="70" w:type="dxa"/>
              <w:right w:w="85" w:type="dxa"/>
            </w:tcMar>
            <w:vAlign w:val="center"/>
          </w:tcPr>
          <w:p w14:paraId="28AB470B" w14:textId="77777777" w:rsidR="003357E9" w:rsidRPr="00BA4F7F" w:rsidRDefault="00000000">
            <w:pPr>
              <w:spacing w:after="0"/>
            </w:pPr>
            <w:r w:rsidRPr="00BA4F7F">
              <w:rPr>
                <w:color w:val="1E1E1E"/>
                <w:sz w:val="15"/>
              </w:rPr>
              <w:t>profesjonalizacja procesu legislacyjnego, stabilne reguły obsady i odpowiedzialności oraz mierniki czasu i jakości postępowań</w:t>
            </w:r>
          </w:p>
        </w:tc>
        <w:tc>
          <w:tcPr>
            <w:tcW w:w="3528" w:type="dxa"/>
            <w:shd w:val="clear" w:color="auto" w:fill="EDF1F4"/>
            <w:tcMar>
              <w:top w:w="70" w:type="dxa"/>
              <w:left w:w="85" w:type="dxa"/>
              <w:bottom w:w="70" w:type="dxa"/>
              <w:right w:w="85" w:type="dxa"/>
            </w:tcMar>
            <w:vAlign w:val="center"/>
          </w:tcPr>
          <w:p w14:paraId="4DD12718" w14:textId="77777777" w:rsidR="003357E9" w:rsidRPr="00BA4F7F" w:rsidRDefault="00000000">
            <w:pPr>
              <w:spacing w:after="0"/>
            </w:pPr>
            <w:r w:rsidRPr="00BA4F7F">
              <w:rPr>
                <w:color w:val="1E1E1E"/>
                <w:sz w:val="15"/>
              </w:rPr>
              <w:t>spadek premii za ryzyko prawne i krótszy czas uzyskania finalnej ochrony</w:t>
            </w:r>
          </w:p>
        </w:tc>
      </w:tr>
      <w:tr w:rsidR="003357E9" w:rsidRPr="00BA4F7F" w14:paraId="67FF9AB1" w14:textId="77777777">
        <w:trPr>
          <w:cantSplit/>
          <w:jc w:val="center"/>
        </w:trPr>
        <w:tc>
          <w:tcPr>
            <w:tcW w:w="1296" w:type="dxa"/>
            <w:tcMar>
              <w:top w:w="70" w:type="dxa"/>
              <w:left w:w="85" w:type="dxa"/>
              <w:bottom w:w="70" w:type="dxa"/>
              <w:right w:w="85" w:type="dxa"/>
            </w:tcMar>
            <w:vAlign w:val="center"/>
          </w:tcPr>
          <w:p w14:paraId="7DDEFF0C" w14:textId="77777777" w:rsidR="003357E9" w:rsidRPr="00BA4F7F" w:rsidRDefault="00000000">
            <w:pPr>
              <w:spacing w:after="0"/>
            </w:pPr>
            <w:r w:rsidRPr="00BA4F7F">
              <w:rPr>
                <w:color w:val="1E1E1E"/>
                <w:sz w:val="15"/>
              </w:rPr>
              <w:t>&gt;5 lat</w:t>
            </w:r>
          </w:p>
        </w:tc>
        <w:tc>
          <w:tcPr>
            <w:tcW w:w="4680" w:type="dxa"/>
            <w:tcMar>
              <w:top w:w="70" w:type="dxa"/>
              <w:left w:w="85" w:type="dxa"/>
              <w:bottom w:w="70" w:type="dxa"/>
              <w:right w:w="85" w:type="dxa"/>
            </w:tcMar>
            <w:vAlign w:val="center"/>
          </w:tcPr>
          <w:p w14:paraId="6EEB710F" w14:textId="77777777" w:rsidR="003357E9" w:rsidRPr="00BA4F7F" w:rsidRDefault="00000000">
            <w:pPr>
              <w:spacing w:after="0"/>
            </w:pPr>
            <w:r w:rsidRPr="00BA4F7F">
              <w:rPr>
                <w:color w:val="1E1E1E"/>
                <w:sz w:val="15"/>
              </w:rPr>
              <w:t>praktyka instytucjonalna odporna na zmianę większości i powszechnie uznawana finalność rozstrzygnięć</w:t>
            </w:r>
          </w:p>
        </w:tc>
        <w:tc>
          <w:tcPr>
            <w:tcW w:w="3528" w:type="dxa"/>
            <w:tcMar>
              <w:top w:w="70" w:type="dxa"/>
              <w:left w:w="85" w:type="dxa"/>
              <w:bottom w:w="70" w:type="dxa"/>
              <w:right w:w="85" w:type="dxa"/>
            </w:tcMar>
            <w:vAlign w:val="center"/>
          </w:tcPr>
          <w:p w14:paraId="595D3679" w14:textId="77777777" w:rsidR="003357E9" w:rsidRPr="00BA4F7F" w:rsidRDefault="00000000">
            <w:pPr>
              <w:spacing w:after="0"/>
            </w:pPr>
            <w:r w:rsidRPr="00BA4F7F">
              <w:rPr>
                <w:color w:val="1E1E1E"/>
                <w:sz w:val="15"/>
              </w:rPr>
              <w:t xml:space="preserve">utrzymanie poprawy po zmianie politycznej i wzrost wyników wszystkich czterech </w:t>
            </w:r>
            <w:proofErr w:type="spellStart"/>
            <w:r w:rsidRPr="00BA4F7F">
              <w:rPr>
                <w:color w:val="1E1E1E"/>
                <w:sz w:val="15"/>
              </w:rPr>
              <w:t>subobszarów</w:t>
            </w:r>
            <w:proofErr w:type="spellEnd"/>
          </w:p>
        </w:tc>
      </w:tr>
    </w:tbl>
    <w:p w14:paraId="53DE773A" w14:textId="77777777" w:rsidR="003357E9" w:rsidRPr="00BA4F7F" w:rsidRDefault="00000000">
      <w:r w:rsidRPr="00BA4F7F">
        <w:rPr>
          <w:b/>
          <w:color w:val="1F4E79"/>
        </w:rPr>
        <w:t>Wniosek.</w:t>
      </w:r>
      <w:r w:rsidRPr="00BA4F7F">
        <w:t xml:space="preserve"> Kryzys instytucjonalny może przez długi czas współistnieć ze sprawnością techniczną. Słabość ujawnia się przy decyzjach wieloletnich: im większa odwracalność prawa i rozstrzygnięć, tym droższe stają się inwestycje, reformy i utrzymanie projektów ponad kadencjami.</w:t>
      </w:r>
    </w:p>
    <w:p w14:paraId="1890E0BD" w14:textId="77777777" w:rsidR="00181CD9" w:rsidRDefault="00181CD9">
      <w:pPr>
        <w:pStyle w:val="Nagwek2"/>
      </w:pPr>
    </w:p>
    <w:p w14:paraId="090A5F05" w14:textId="77777777" w:rsidR="003357E9" w:rsidRPr="00BA4F7F" w:rsidRDefault="00000000">
      <w:pPr>
        <w:pStyle w:val="Nagwek2"/>
      </w:pPr>
      <w:r w:rsidRPr="00BA4F7F">
        <w:t>14B.8. Ciągłość konstytucyjna – krytyczny deficyt</w:t>
      </w:r>
      <w:r w:rsidR="00181CD9">
        <w:t xml:space="preserve"> legalności</w:t>
      </w:r>
    </w:p>
    <w:p w14:paraId="6DEC0AAC" w14:textId="77777777" w:rsidR="003357E9" w:rsidRPr="00BA4F7F" w:rsidRDefault="00000000">
      <w:pPr>
        <w:pStyle w:val="Lead"/>
        <w:rPr>
          <w:lang w:val="pl-PL"/>
        </w:rPr>
      </w:pPr>
      <w:r w:rsidRPr="00BA4F7F">
        <w:rPr>
          <w:lang w:val="pl-PL"/>
        </w:rPr>
        <w:t>Ciągłość konstytucyjna wynosi 16,7 pkt: spełnia jednocześnie warunek alertu krytycznego, pogorszenia strukturalnego i trwałej słabości.</w:t>
      </w:r>
    </w:p>
    <w:p w14:paraId="136249BF" w14:textId="77777777" w:rsidR="003357E9" w:rsidRPr="00BA4F7F" w:rsidRDefault="00000000">
      <w:r w:rsidRPr="00BA4F7F">
        <w:t>Wynik nie oznacza ustania działania organów. Mierzy zdolność systemu do wytwarzania rozstrzygnięć legalnie ustanowionych, wykonywanych, finalnych i możliwie powszechnie uznawanych. W latach 2024–2025 utrzymał się na poziomie krytycznym, a od 2022 r. spadł o 16,7 pkt.</w:t>
      </w:r>
    </w:p>
    <w:p w14:paraId="3CB3CF2C" w14:textId="77777777" w:rsidR="003357E9" w:rsidRPr="00BA4F7F" w:rsidRDefault="00000000">
      <w:r w:rsidRPr="00BA4F7F">
        <w:t>Największym zagrożeniem nie jest jednorazowy paraliż, lecz trwała fragmentacja legalności. Decyzja może być operacyjnie wykonywana, a jednocześnie pozostawać podatna na późniejsze zakwestionowanie. Powstaje premia za odwracalność, która obciąża inwestycje, zobowiązania międzynarodowe, prawa obywateli i ciągłość reform.</w:t>
      </w:r>
    </w:p>
    <w:p w14:paraId="591F99F5" w14:textId="77777777" w:rsidR="003357E9" w:rsidRPr="00BA4F7F" w:rsidRDefault="00000000">
      <w:r w:rsidRPr="00BA4F7F">
        <w:lastRenderedPageBreak/>
        <w:t>Działanie naprawcze nie powinno być utożsamiane ze zwycięstwem jednego ośrodka. Z perspektywy racji stanu liczy się rozwiązanie zgodne z Konstytucją, proporcjonalne, chroniące prawomocne rozstrzygnięcia i prawa nabyte, a następnie stosowane niezależnie od konfiguracji politycznej.</w:t>
      </w:r>
    </w:p>
    <w:tbl>
      <w:tblPr>
        <w:tblStyle w:val="Tabela-Siatka"/>
        <w:tblW w:w="0" w:type="auto"/>
        <w:jc w:val="center"/>
        <w:tblLook w:val="04A0" w:firstRow="1" w:lastRow="0" w:firstColumn="1" w:lastColumn="0" w:noHBand="0" w:noVBand="1"/>
      </w:tblPr>
      <w:tblGrid>
        <w:gridCol w:w="1296"/>
        <w:gridCol w:w="4680"/>
        <w:gridCol w:w="3528"/>
      </w:tblGrid>
      <w:tr w:rsidR="003357E9" w:rsidRPr="00BA4F7F" w14:paraId="2940C775" w14:textId="77777777">
        <w:trPr>
          <w:cantSplit/>
          <w:tblHeader/>
          <w:jc w:val="center"/>
        </w:trPr>
        <w:tc>
          <w:tcPr>
            <w:tcW w:w="1296" w:type="dxa"/>
            <w:shd w:val="clear" w:color="auto" w:fill="1F4E79"/>
            <w:tcMar>
              <w:top w:w="70" w:type="dxa"/>
              <w:left w:w="85" w:type="dxa"/>
              <w:bottom w:w="70" w:type="dxa"/>
              <w:right w:w="85" w:type="dxa"/>
            </w:tcMar>
            <w:vAlign w:val="center"/>
          </w:tcPr>
          <w:p w14:paraId="2C623714" w14:textId="77777777" w:rsidR="003357E9" w:rsidRPr="00BA4F7F" w:rsidRDefault="00000000">
            <w:pPr>
              <w:spacing w:after="0"/>
              <w:jc w:val="center"/>
            </w:pPr>
            <w:r w:rsidRPr="00BA4F7F">
              <w:rPr>
                <w:b/>
                <w:color w:val="FFFFFF"/>
                <w:sz w:val="15"/>
              </w:rPr>
              <w:t>Horyzont</w:t>
            </w:r>
          </w:p>
        </w:tc>
        <w:tc>
          <w:tcPr>
            <w:tcW w:w="4680" w:type="dxa"/>
            <w:shd w:val="clear" w:color="auto" w:fill="1F4E79"/>
            <w:tcMar>
              <w:top w:w="70" w:type="dxa"/>
              <w:left w:w="85" w:type="dxa"/>
              <w:bottom w:w="70" w:type="dxa"/>
              <w:right w:w="85" w:type="dxa"/>
            </w:tcMar>
            <w:vAlign w:val="center"/>
          </w:tcPr>
          <w:p w14:paraId="4EE7C365" w14:textId="77777777" w:rsidR="003357E9" w:rsidRPr="00BA4F7F" w:rsidRDefault="00000000">
            <w:pPr>
              <w:spacing w:after="0"/>
              <w:jc w:val="center"/>
            </w:pPr>
            <w:r w:rsidRPr="00BA4F7F">
              <w:rPr>
                <w:b/>
                <w:color w:val="FFFFFF"/>
                <w:sz w:val="15"/>
              </w:rPr>
              <w:t>Działanie mitygujące</w:t>
            </w:r>
          </w:p>
        </w:tc>
        <w:tc>
          <w:tcPr>
            <w:tcW w:w="3528" w:type="dxa"/>
            <w:shd w:val="clear" w:color="auto" w:fill="1F4E79"/>
            <w:tcMar>
              <w:top w:w="70" w:type="dxa"/>
              <w:left w:w="85" w:type="dxa"/>
              <w:bottom w:w="70" w:type="dxa"/>
              <w:right w:w="85" w:type="dxa"/>
            </w:tcMar>
            <w:vAlign w:val="center"/>
          </w:tcPr>
          <w:p w14:paraId="2C3FDE52" w14:textId="77777777" w:rsidR="003357E9" w:rsidRPr="00BA4F7F" w:rsidRDefault="00000000">
            <w:pPr>
              <w:spacing w:after="0"/>
              <w:jc w:val="center"/>
            </w:pPr>
            <w:r w:rsidRPr="00BA4F7F">
              <w:rPr>
                <w:b/>
                <w:color w:val="FFFFFF"/>
                <w:sz w:val="15"/>
              </w:rPr>
              <w:t>Warunek wiarygodnej poprawy</w:t>
            </w:r>
          </w:p>
        </w:tc>
      </w:tr>
      <w:tr w:rsidR="003357E9" w:rsidRPr="00BA4F7F" w14:paraId="3BC04C70" w14:textId="77777777">
        <w:trPr>
          <w:cantSplit/>
          <w:jc w:val="center"/>
        </w:trPr>
        <w:tc>
          <w:tcPr>
            <w:tcW w:w="1296" w:type="dxa"/>
            <w:tcMar>
              <w:top w:w="70" w:type="dxa"/>
              <w:left w:w="85" w:type="dxa"/>
              <w:bottom w:w="70" w:type="dxa"/>
              <w:right w:w="85" w:type="dxa"/>
            </w:tcMar>
            <w:vAlign w:val="center"/>
          </w:tcPr>
          <w:p w14:paraId="35309AE9" w14:textId="77777777" w:rsidR="003357E9" w:rsidRPr="00BA4F7F" w:rsidRDefault="00000000">
            <w:pPr>
              <w:spacing w:after="0"/>
            </w:pPr>
            <w:r w:rsidRPr="00BA4F7F">
              <w:rPr>
                <w:color w:val="1E1E1E"/>
                <w:sz w:val="15"/>
              </w:rPr>
              <w:t>1–2 lata</w:t>
            </w:r>
          </w:p>
        </w:tc>
        <w:tc>
          <w:tcPr>
            <w:tcW w:w="4680" w:type="dxa"/>
            <w:tcMar>
              <w:top w:w="70" w:type="dxa"/>
              <w:left w:w="85" w:type="dxa"/>
              <w:bottom w:w="70" w:type="dxa"/>
              <w:right w:w="85" w:type="dxa"/>
            </w:tcMar>
            <w:vAlign w:val="center"/>
          </w:tcPr>
          <w:p w14:paraId="24B3BA75" w14:textId="77777777" w:rsidR="003357E9" w:rsidRPr="00BA4F7F" w:rsidRDefault="00000000">
            <w:pPr>
              <w:spacing w:after="0"/>
            </w:pPr>
            <w:r w:rsidRPr="00BA4F7F">
              <w:rPr>
                <w:color w:val="1E1E1E"/>
                <w:sz w:val="15"/>
              </w:rPr>
              <w:t>wykonywanie i publikowanie rozstrzygnięć, ograniczenie wzajemnego nieuznawania oraz zabezpieczenie ciągłości praw obywateli</w:t>
            </w:r>
          </w:p>
        </w:tc>
        <w:tc>
          <w:tcPr>
            <w:tcW w:w="3528" w:type="dxa"/>
            <w:tcMar>
              <w:top w:w="70" w:type="dxa"/>
              <w:left w:w="85" w:type="dxa"/>
              <w:bottom w:w="70" w:type="dxa"/>
              <w:right w:w="85" w:type="dxa"/>
            </w:tcMar>
            <w:vAlign w:val="center"/>
          </w:tcPr>
          <w:p w14:paraId="1E04DDDE" w14:textId="77777777" w:rsidR="003357E9" w:rsidRPr="00BA4F7F" w:rsidRDefault="00000000">
            <w:pPr>
              <w:spacing w:after="0"/>
            </w:pPr>
            <w:r w:rsidRPr="00BA4F7F">
              <w:rPr>
                <w:color w:val="1E1E1E"/>
                <w:sz w:val="15"/>
              </w:rPr>
              <w:t>spadek liczby konfliktów kompetencyjnych i decyzji o niepewnym skutku</w:t>
            </w:r>
          </w:p>
        </w:tc>
      </w:tr>
      <w:tr w:rsidR="003357E9" w:rsidRPr="00BA4F7F" w14:paraId="5F5C629D" w14:textId="77777777">
        <w:trPr>
          <w:cantSplit/>
          <w:jc w:val="center"/>
        </w:trPr>
        <w:tc>
          <w:tcPr>
            <w:tcW w:w="1296" w:type="dxa"/>
            <w:shd w:val="clear" w:color="auto" w:fill="EDF1F4"/>
            <w:tcMar>
              <w:top w:w="70" w:type="dxa"/>
              <w:left w:w="85" w:type="dxa"/>
              <w:bottom w:w="70" w:type="dxa"/>
              <w:right w:w="85" w:type="dxa"/>
            </w:tcMar>
            <w:vAlign w:val="center"/>
          </w:tcPr>
          <w:p w14:paraId="5B4146C4" w14:textId="77777777" w:rsidR="003357E9" w:rsidRPr="00BA4F7F" w:rsidRDefault="00000000">
            <w:pPr>
              <w:spacing w:after="0"/>
            </w:pPr>
            <w:r w:rsidRPr="00BA4F7F">
              <w:rPr>
                <w:color w:val="1E1E1E"/>
                <w:sz w:val="15"/>
              </w:rPr>
              <w:t>3–5 lat</w:t>
            </w:r>
          </w:p>
        </w:tc>
        <w:tc>
          <w:tcPr>
            <w:tcW w:w="4680" w:type="dxa"/>
            <w:shd w:val="clear" w:color="auto" w:fill="EDF1F4"/>
            <w:tcMar>
              <w:top w:w="70" w:type="dxa"/>
              <w:left w:w="85" w:type="dxa"/>
              <w:bottom w:w="70" w:type="dxa"/>
              <w:right w:w="85" w:type="dxa"/>
            </w:tcMar>
            <w:vAlign w:val="center"/>
          </w:tcPr>
          <w:p w14:paraId="7244C47C" w14:textId="77777777" w:rsidR="003357E9" w:rsidRPr="00BA4F7F" w:rsidRDefault="00000000">
            <w:pPr>
              <w:spacing w:after="0"/>
            </w:pPr>
            <w:r w:rsidRPr="00BA4F7F">
              <w:rPr>
                <w:color w:val="1E1E1E"/>
                <w:sz w:val="15"/>
              </w:rPr>
              <w:t>trwałe reguły obsady, odpowiedzialności i kontroli konstytucyjnej oraz niezależne mechanizmy oceny wykonania</w:t>
            </w:r>
          </w:p>
        </w:tc>
        <w:tc>
          <w:tcPr>
            <w:tcW w:w="3528" w:type="dxa"/>
            <w:shd w:val="clear" w:color="auto" w:fill="EDF1F4"/>
            <w:tcMar>
              <w:top w:w="70" w:type="dxa"/>
              <w:left w:w="85" w:type="dxa"/>
              <w:bottom w:w="70" w:type="dxa"/>
              <w:right w:w="85" w:type="dxa"/>
            </w:tcMar>
            <w:vAlign w:val="center"/>
          </w:tcPr>
          <w:p w14:paraId="5332CFD8" w14:textId="77777777" w:rsidR="003357E9" w:rsidRPr="00BA4F7F" w:rsidRDefault="00000000">
            <w:pPr>
              <w:spacing w:after="0"/>
            </w:pPr>
            <w:r w:rsidRPr="00BA4F7F">
              <w:rPr>
                <w:color w:val="1E1E1E"/>
                <w:sz w:val="15"/>
              </w:rPr>
              <w:t>wzrost wyniku ponad strefę krytyczną i stabilna praktyka organów</w:t>
            </w:r>
          </w:p>
        </w:tc>
      </w:tr>
      <w:tr w:rsidR="003357E9" w:rsidRPr="00BA4F7F" w14:paraId="2275FC43" w14:textId="77777777">
        <w:trPr>
          <w:cantSplit/>
          <w:jc w:val="center"/>
        </w:trPr>
        <w:tc>
          <w:tcPr>
            <w:tcW w:w="1296" w:type="dxa"/>
            <w:tcMar>
              <w:top w:w="70" w:type="dxa"/>
              <w:left w:w="85" w:type="dxa"/>
              <w:bottom w:w="70" w:type="dxa"/>
              <w:right w:w="85" w:type="dxa"/>
            </w:tcMar>
            <w:vAlign w:val="center"/>
          </w:tcPr>
          <w:p w14:paraId="7640165F" w14:textId="77777777" w:rsidR="003357E9" w:rsidRPr="00BA4F7F" w:rsidRDefault="00000000">
            <w:pPr>
              <w:spacing w:after="0"/>
            </w:pPr>
            <w:r w:rsidRPr="00BA4F7F">
              <w:rPr>
                <w:color w:val="1E1E1E"/>
                <w:sz w:val="15"/>
              </w:rPr>
              <w:t>&gt;5 lat</w:t>
            </w:r>
          </w:p>
        </w:tc>
        <w:tc>
          <w:tcPr>
            <w:tcW w:w="4680" w:type="dxa"/>
            <w:tcMar>
              <w:top w:w="70" w:type="dxa"/>
              <w:left w:w="85" w:type="dxa"/>
              <w:bottom w:w="70" w:type="dxa"/>
              <w:right w:w="85" w:type="dxa"/>
            </w:tcMar>
            <w:vAlign w:val="center"/>
          </w:tcPr>
          <w:p w14:paraId="13A72596" w14:textId="77777777" w:rsidR="003357E9" w:rsidRPr="00BA4F7F" w:rsidRDefault="00000000">
            <w:pPr>
              <w:spacing w:after="0"/>
            </w:pPr>
            <w:r w:rsidRPr="00BA4F7F">
              <w:rPr>
                <w:color w:val="1E1E1E"/>
                <w:sz w:val="15"/>
              </w:rPr>
              <w:t>wspólna kultura finalności, ochrony praw nabytych i akceptacji reguł zmiany władzy</w:t>
            </w:r>
          </w:p>
        </w:tc>
        <w:tc>
          <w:tcPr>
            <w:tcW w:w="3528" w:type="dxa"/>
            <w:tcMar>
              <w:top w:w="70" w:type="dxa"/>
              <w:left w:w="85" w:type="dxa"/>
              <w:bottom w:w="70" w:type="dxa"/>
              <w:right w:w="85" w:type="dxa"/>
            </w:tcMar>
            <w:vAlign w:val="center"/>
          </w:tcPr>
          <w:p w14:paraId="0E59B4B3" w14:textId="77777777" w:rsidR="003357E9" w:rsidRPr="00BA4F7F" w:rsidRDefault="00000000">
            <w:pPr>
              <w:spacing w:after="0"/>
            </w:pPr>
            <w:r w:rsidRPr="00BA4F7F">
              <w:rPr>
                <w:color w:val="1E1E1E"/>
                <w:sz w:val="15"/>
              </w:rPr>
              <w:t>rozwiązania utrzymane po zmianie większości politycznej</w:t>
            </w:r>
          </w:p>
        </w:tc>
      </w:tr>
    </w:tbl>
    <w:p w14:paraId="235B69E3" w14:textId="77777777" w:rsidR="003357E9" w:rsidRPr="00BA4F7F" w:rsidRDefault="00000000">
      <w:r w:rsidRPr="00BA4F7F">
        <w:rPr>
          <w:b/>
          <w:color w:val="1F4E79"/>
        </w:rPr>
        <w:t>Wniosek.</w:t>
      </w:r>
      <w:r w:rsidRPr="00BA4F7F">
        <w:t xml:space="preserve"> Państwo może być technicznie sprawne i konstytucyjnie kruche. Krytyczny alert dotyczy nie liczby wydawanych decyzji, lecz tego, czy ich legalność i finalność tworzą wspólny punkt odniesienia dla obywateli, urzędników, inwestorów i kolejnych władz.</w:t>
      </w:r>
    </w:p>
    <w:p w14:paraId="04F9F140" w14:textId="77777777" w:rsidR="00181CD9" w:rsidRDefault="00181CD9">
      <w:pPr>
        <w:pStyle w:val="Nagwek2"/>
      </w:pPr>
    </w:p>
    <w:p w14:paraId="03A8D82E" w14:textId="77777777" w:rsidR="003357E9" w:rsidRPr="00BA4F7F" w:rsidRDefault="00000000">
      <w:pPr>
        <w:pStyle w:val="Nagwek2"/>
      </w:pPr>
      <w:r w:rsidRPr="00BA4F7F">
        <w:t>14B.9. Sprawność, stabilność prawa i regulacje – koszt niedomknięcia</w:t>
      </w:r>
    </w:p>
    <w:p w14:paraId="7F7A0B76" w14:textId="77777777" w:rsidR="003357E9" w:rsidRPr="00BA4F7F" w:rsidRDefault="00000000">
      <w:pPr>
        <w:pStyle w:val="Lead"/>
        <w:rPr>
          <w:lang w:val="pl-PL"/>
        </w:rPr>
      </w:pPr>
      <w:r w:rsidRPr="00BA4F7F">
        <w:rPr>
          <w:lang w:val="pl-PL"/>
        </w:rPr>
        <w:t>Sprawność instytucjonalna i Zmiany regulacyjne spełniają warunki pogorszenia strukturalnego, a Stabilność i egzekwowalność prawa pozostają w sygnale trwałej słabości.</w:t>
      </w:r>
    </w:p>
    <w:p w14:paraId="0816BB43" w14:textId="77777777" w:rsidR="003357E9" w:rsidRPr="00BA4F7F" w:rsidRDefault="00000000">
      <w:r w:rsidRPr="00BA4F7F">
        <w:t>Sprawność instytucjonalna osiąga 43,3 pkt i od 2022 r. spadła o 23,3 pkt. Zmiany regulacyjne wynoszą 38,8 pkt i obniżyły się w tym samym okresie o 21,3 pkt. Stabilność prawa odbudowała się do 40,0 pkt, lecz trzy ostatnie wyniki pozostały poniżej 50 pkt.</w:t>
      </w:r>
    </w:p>
    <w:p w14:paraId="6B1AA386" w14:textId="77777777" w:rsidR="003357E9" w:rsidRPr="00BA4F7F" w:rsidRDefault="00000000">
      <w:r w:rsidRPr="00BA4F7F">
        <w:t>Wspólnym mechanizmem jest różnica między uruchomieniem działania a domknięciem cyklu wykonawczego. Państwo potrafi szybko przygotować akt, program lub strukturę kryzysową, ale słabiej zapewnia akty wykonawcze, właściciela rezultatu, dane, finansowanie, ewaluację i korektę. Regulacja częściowo wdrożona może tworzyć jednocześnie koszt zgodności i brak oczekiwanej zdolności.</w:t>
      </w:r>
    </w:p>
    <w:p w14:paraId="78002FA2" w14:textId="77777777" w:rsidR="003357E9" w:rsidRPr="00BA4F7F" w:rsidRDefault="00000000">
      <w:r w:rsidRPr="00BA4F7F">
        <w:t>Efekt pamięci instytucjonalnej powoduje, że spowolnienie zmian prawa nie odbudowuje natychmiast zaufania. Podmioty utrzymują krótszy horyzont decyzji, jeżeli wcześniejsze regulacje były gwałtownie korygowane. Dlatego poprawa wymaga nie tylko mniejszej liczby ustaw, lecz stabilniejszej praktyki, egzekucji i rozliczenia efektu.</w:t>
      </w:r>
    </w:p>
    <w:tbl>
      <w:tblPr>
        <w:tblStyle w:val="Tabela-Siatka"/>
        <w:tblW w:w="0" w:type="auto"/>
        <w:jc w:val="center"/>
        <w:tblLook w:val="04A0" w:firstRow="1" w:lastRow="0" w:firstColumn="1" w:lastColumn="0" w:noHBand="0" w:noVBand="1"/>
      </w:tblPr>
      <w:tblGrid>
        <w:gridCol w:w="1296"/>
        <w:gridCol w:w="4680"/>
        <w:gridCol w:w="3528"/>
      </w:tblGrid>
      <w:tr w:rsidR="003357E9" w:rsidRPr="00BA4F7F" w14:paraId="065C1065" w14:textId="77777777">
        <w:trPr>
          <w:cantSplit/>
          <w:tblHeader/>
          <w:jc w:val="center"/>
        </w:trPr>
        <w:tc>
          <w:tcPr>
            <w:tcW w:w="1296" w:type="dxa"/>
            <w:shd w:val="clear" w:color="auto" w:fill="1F4E79"/>
            <w:tcMar>
              <w:top w:w="70" w:type="dxa"/>
              <w:left w:w="85" w:type="dxa"/>
              <w:bottom w:w="70" w:type="dxa"/>
              <w:right w:w="85" w:type="dxa"/>
            </w:tcMar>
            <w:vAlign w:val="center"/>
          </w:tcPr>
          <w:p w14:paraId="3A303FAE" w14:textId="77777777" w:rsidR="003357E9" w:rsidRPr="00BA4F7F" w:rsidRDefault="00000000">
            <w:pPr>
              <w:spacing w:after="0"/>
              <w:jc w:val="center"/>
            </w:pPr>
            <w:r w:rsidRPr="00BA4F7F">
              <w:rPr>
                <w:b/>
                <w:color w:val="FFFFFF"/>
                <w:sz w:val="15"/>
              </w:rPr>
              <w:t>Horyzont</w:t>
            </w:r>
          </w:p>
        </w:tc>
        <w:tc>
          <w:tcPr>
            <w:tcW w:w="4680" w:type="dxa"/>
            <w:shd w:val="clear" w:color="auto" w:fill="1F4E79"/>
            <w:tcMar>
              <w:top w:w="70" w:type="dxa"/>
              <w:left w:w="85" w:type="dxa"/>
              <w:bottom w:w="70" w:type="dxa"/>
              <w:right w:w="85" w:type="dxa"/>
            </w:tcMar>
            <w:vAlign w:val="center"/>
          </w:tcPr>
          <w:p w14:paraId="6807CA5A" w14:textId="77777777" w:rsidR="003357E9" w:rsidRPr="00BA4F7F" w:rsidRDefault="00000000">
            <w:pPr>
              <w:spacing w:after="0"/>
              <w:jc w:val="center"/>
            </w:pPr>
            <w:r w:rsidRPr="00BA4F7F">
              <w:rPr>
                <w:b/>
                <w:color w:val="FFFFFF"/>
                <w:sz w:val="15"/>
              </w:rPr>
              <w:t>Działanie mitygujące</w:t>
            </w:r>
          </w:p>
        </w:tc>
        <w:tc>
          <w:tcPr>
            <w:tcW w:w="3528" w:type="dxa"/>
            <w:shd w:val="clear" w:color="auto" w:fill="1F4E79"/>
            <w:tcMar>
              <w:top w:w="70" w:type="dxa"/>
              <w:left w:w="85" w:type="dxa"/>
              <w:bottom w:w="70" w:type="dxa"/>
              <w:right w:w="85" w:type="dxa"/>
            </w:tcMar>
            <w:vAlign w:val="center"/>
          </w:tcPr>
          <w:p w14:paraId="0DEADE3A" w14:textId="77777777" w:rsidR="003357E9" w:rsidRPr="00BA4F7F" w:rsidRDefault="00000000">
            <w:pPr>
              <w:spacing w:after="0"/>
              <w:jc w:val="center"/>
            </w:pPr>
            <w:r w:rsidRPr="00BA4F7F">
              <w:rPr>
                <w:b/>
                <w:color w:val="FFFFFF"/>
                <w:sz w:val="15"/>
              </w:rPr>
              <w:t>Warunek wiarygodnej poprawy</w:t>
            </w:r>
          </w:p>
        </w:tc>
      </w:tr>
      <w:tr w:rsidR="003357E9" w:rsidRPr="00BA4F7F" w14:paraId="1638DDEE" w14:textId="77777777">
        <w:trPr>
          <w:cantSplit/>
          <w:jc w:val="center"/>
        </w:trPr>
        <w:tc>
          <w:tcPr>
            <w:tcW w:w="1296" w:type="dxa"/>
            <w:tcMar>
              <w:top w:w="70" w:type="dxa"/>
              <w:left w:w="85" w:type="dxa"/>
              <w:bottom w:w="70" w:type="dxa"/>
              <w:right w:w="85" w:type="dxa"/>
            </w:tcMar>
            <w:vAlign w:val="center"/>
          </w:tcPr>
          <w:p w14:paraId="14EDA472" w14:textId="77777777" w:rsidR="003357E9" w:rsidRPr="00BA4F7F" w:rsidRDefault="00000000">
            <w:pPr>
              <w:spacing w:after="0"/>
            </w:pPr>
            <w:r w:rsidRPr="00BA4F7F">
              <w:rPr>
                <w:color w:val="1E1E1E"/>
                <w:sz w:val="15"/>
              </w:rPr>
              <w:t>1–2 lata</w:t>
            </w:r>
          </w:p>
        </w:tc>
        <w:tc>
          <w:tcPr>
            <w:tcW w:w="4680" w:type="dxa"/>
            <w:tcMar>
              <w:top w:w="70" w:type="dxa"/>
              <w:left w:w="85" w:type="dxa"/>
              <w:bottom w:w="70" w:type="dxa"/>
              <w:right w:w="85" w:type="dxa"/>
            </w:tcMar>
            <w:vAlign w:val="center"/>
          </w:tcPr>
          <w:p w14:paraId="7BCA7444" w14:textId="77777777" w:rsidR="003357E9" w:rsidRPr="00BA4F7F" w:rsidRDefault="00000000">
            <w:pPr>
              <w:spacing w:after="0"/>
            </w:pPr>
            <w:r w:rsidRPr="00BA4F7F">
              <w:rPr>
                <w:color w:val="1E1E1E"/>
                <w:sz w:val="15"/>
              </w:rPr>
              <w:t>obowiązkowy właściciel wdrożenia, finansowanie i akty wykonawcze przed wejściem kluczowych obowiązków oraz realne vacatio legis</w:t>
            </w:r>
          </w:p>
        </w:tc>
        <w:tc>
          <w:tcPr>
            <w:tcW w:w="3528" w:type="dxa"/>
            <w:tcMar>
              <w:top w:w="70" w:type="dxa"/>
              <w:left w:w="85" w:type="dxa"/>
              <w:bottom w:w="70" w:type="dxa"/>
              <w:right w:w="85" w:type="dxa"/>
            </w:tcMar>
            <w:vAlign w:val="center"/>
          </w:tcPr>
          <w:p w14:paraId="20DB4027" w14:textId="77777777" w:rsidR="003357E9" w:rsidRPr="00BA4F7F" w:rsidRDefault="00000000">
            <w:pPr>
              <w:spacing w:after="0"/>
            </w:pPr>
            <w:r w:rsidRPr="00BA4F7F">
              <w:rPr>
                <w:color w:val="1E1E1E"/>
                <w:sz w:val="15"/>
              </w:rPr>
              <w:t>mniej korekt awaryjnych i opóźnień wdrożeniowych</w:t>
            </w:r>
          </w:p>
        </w:tc>
      </w:tr>
      <w:tr w:rsidR="003357E9" w:rsidRPr="00BA4F7F" w14:paraId="2F0F3971" w14:textId="77777777">
        <w:trPr>
          <w:cantSplit/>
          <w:jc w:val="center"/>
        </w:trPr>
        <w:tc>
          <w:tcPr>
            <w:tcW w:w="1296" w:type="dxa"/>
            <w:shd w:val="clear" w:color="auto" w:fill="EDF1F4"/>
            <w:tcMar>
              <w:top w:w="70" w:type="dxa"/>
              <w:left w:w="85" w:type="dxa"/>
              <w:bottom w:w="70" w:type="dxa"/>
              <w:right w:w="85" w:type="dxa"/>
            </w:tcMar>
            <w:vAlign w:val="center"/>
          </w:tcPr>
          <w:p w14:paraId="1EA6AB0F" w14:textId="77777777" w:rsidR="003357E9" w:rsidRPr="00BA4F7F" w:rsidRDefault="00000000">
            <w:pPr>
              <w:spacing w:after="0"/>
            </w:pPr>
            <w:r w:rsidRPr="00BA4F7F">
              <w:rPr>
                <w:color w:val="1E1E1E"/>
                <w:sz w:val="15"/>
              </w:rPr>
              <w:t>3–5 lat</w:t>
            </w:r>
          </w:p>
        </w:tc>
        <w:tc>
          <w:tcPr>
            <w:tcW w:w="4680" w:type="dxa"/>
            <w:shd w:val="clear" w:color="auto" w:fill="EDF1F4"/>
            <w:tcMar>
              <w:top w:w="70" w:type="dxa"/>
              <w:left w:w="85" w:type="dxa"/>
              <w:bottom w:w="70" w:type="dxa"/>
              <w:right w:w="85" w:type="dxa"/>
            </w:tcMar>
            <w:vAlign w:val="center"/>
          </w:tcPr>
          <w:p w14:paraId="7AFD2FBE" w14:textId="77777777" w:rsidR="003357E9" w:rsidRPr="00BA4F7F" w:rsidRDefault="00000000">
            <w:pPr>
              <w:spacing w:after="0"/>
            </w:pPr>
            <w:r w:rsidRPr="00BA4F7F">
              <w:rPr>
                <w:color w:val="1E1E1E"/>
                <w:sz w:val="15"/>
              </w:rPr>
              <w:t>wspólne standardy zarządzania reformami, lepsze OSR, konsultacje, dane i ewaluacja ex post</w:t>
            </w:r>
          </w:p>
        </w:tc>
        <w:tc>
          <w:tcPr>
            <w:tcW w:w="3528" w:type="dxa"/>
            <w:shd w:val="clear" w:color="auto" w:fill="EDF1F4"/>
            <w:tcMar>
              <w:top w:w="70" w:type="dxa"/>
              <w:left w:w="85" w:type="dxa"/>
              <w:bottom w:w="70" w:type="dxa"/>
              <w:right w:w="85" w:type="dxa"/>
            </w:tcMar>
            <w:vAlign w:val="center"/>
          </w:tcPr>
          <w:p w14:paraId="5E1D8F4C" w14:textId="77777777" w:rsidR="003357E9" w:rsidRPr="00BA4F7F" w:rsidRDefault="00000000">
            <w:pPr>
              <w:spacing w:after="0"/>
            </w:pPr>
            <w:r w:rsidRPr="00BA4F7F">
              <w:rPr>
                <w:color w:val="1E1E1E"/>
                <w:sz w:val="15"/>
              </w:rPr>
              <w:t>większy udział regulacji osiągających mierzalny efekt bez nieproporcjonalnych kosztów</w:t>
            </w:r>
          </w:p>
        </w:tc>
      </w:tr>
      <w:tr w:rsidR="003357E9" w:rsidRPr="00BA4F7F" w14:paraId="5380F5BC" w14:textId="77777777">
        <w:trPr>
          <w:cantSplit/>
          <w:jc w:val="center"/>
        </w:trPr>
        <w:tc>
          <w:tcPr>
            <w:tcW w:w="1296" w:type="dxa"/>
            <w:tcMar>
              <w:top w:w="70" w:type="dxa"/>
              <w:left w:w="85" w:type="dxa"/>
              <w:bottom w:w="70" w:type="dxa"/>
              <w:right w:w="85" w:type="dxa"/>
            </w:tcMar>
            <w:vAlign w:val="center"/>
          </w:tcPr>
          <w:p w14:paraId="761B6DED" w14:textId="77777777" w:rsidR="003357E9" w:rsidRPr="00BA4F7F" w:rsidRDefault="00000000">
            <w:pPr>
              <w:spacing w:after="0"/>
            </w:pPr>
            <w:r w:rsidRPr="00BA4F7F">
              <w:rPr>
                <w:color w:val="1E1E1E"/>
                <w:sz w:val="15"/>
              </w:rPr>
              <w:t>&gt;5 lat</w:t>
            </w:r>
          </w:p>
        </w:tc>
        <w:tc>
          <w:tcPr>
            <w:tcW w:w="4680" w:type="dxa"/>
            <w:tcMar>
              <w:top w:w="70" w:type="dxa"/>
              <w:left w:w="85" w:type="dxa"/>
              <w:bottom w:w="70" w:type="dxa"/>
              <w:right w:w="85" w:type="dxa"/>
            </w:tcMar>
            <w:vAlign w:val="center"/>
          </w:tcPr>
          <w:p w14:paraId="1555210D" w14:textId="77777777" w:rsidR="003357E9" w:rsidRPr="00BA4F7F" w:rsidRDefault="00000000">
            <w:pPr>
              <w:spacing w:after="0"/>
            </w:pPr>
            <w:r w:rsidRPr="00BA4F7F">
              <w:rPr>
                <w:color w:val="1E1E1E"/>
                <w:sz w:val="15"/>
              </w:rPr>
              <w:t>profesjonalna administracja i stabilna praktyka ochrony własności, kontraktów i praw nabytych</w:t>
            </w:r>
          </w:p>
        </w:tc>
        <w:tc>
          <w:tcPr>
            <w:tcW w:w="3528" w:type="dxa"/>
            <w:tcMar>
              <w:top w:w="70" w:type="dxa"/>
              <w:left w:w="85" w:type="dxa"/>
              <w:bottom w:w="70" w:type="dxa"/>
              <w:right w:w="85" w:type="dxa"/>
            </w:tcMar>
            <w:vAlign w:val="center"/>
          </w:tcPr>
          <w:p w14:paraId="7DE19E40" w14:textId="77777777" w:rsidR="003357E9" w:rsidRPr="00BA4F7F" w:rsidRDefault="00000000">
            <w:pPr>
              <w:spacing w:after="0"/>
            </w:pPr>
            <w:r w:rsidRPr="00BA4F7F">
              <w:rPr>
                <w:color w:val="1E1E1E"/>
                <w:sz w:val="15"/>
              </w:rPr>
              <w:t>dłuższy horyzont inwestycji oraz trwały wzrost sprawności i egzekwowalności</w:t>
            </w:r>
          </w:p>
        </w:tc>
      </w:tr>
    </w:tbl>
    <w:p w14:paraId="15600A23" w14:textId="77777777" w:rsidR="003357E9" w:rsidRPr="00BA4F7F" w:rsidRDefault="00000000">
      <w:r w:rsidRPr="00BA4F7F">
        <w:rPr>
          <w:b/>
          <w:color w:val="1F4E79"/>
        </w:rPr>
        <w:t>Wniosek.</w:t>
      </w:r>
      <w:r w:rsidRPr="00BA4F7F">
        <w:t xml:space="preserve"> Najbardziej kosztowna nie musi być regulacja błędna od początku, lecz regulacja częściowo wdrożona: system ponosi koszty dostosowania, ale nie otrzymuje pełnej zdolności. Produktem procesu legislacyjnego jest zmiana zachowania instytucji, a nie sam tekst ustawy.</w:t>
      </w:r>
    </w:p>
    <w:p w14:paraId="20719637" w14:textId="77777777" w:rsidR="003357E9" w:rsidRPr="00BA4F7F" w:rsidRDefault="00000000">
      <w:pPr>
        <w:pStyle w:val="Nagwek2"/>
      </w:pPr>
      <w:r w:rsidRPr="00BA4F7F">
        <w:t>14B.10. Interakcje alertów, hierarchia działań i warunki trwałego wyjścia</w:t>
      </w:r>
    </w:p>
    <w:p w14:paraId="409C89FB" w14:textId="77777777" w:rsidR="003357E9" w:rsidRPr="00BA4F7F" w:rsidRDefault="00000000">
      <w:pPr>
        <w:pStyle w:val="Lead"/>
        <w:rPr>
          <w:lang w:val="pl-PL"/>
        </w:rPr>
      </w:pPr>
      <w:r w:rsidRPr="00BA4F7F">
        <w:rPr>
          <w:lang w:val="pl-PL"/>
        </w:rPr>
        <w:t>Alerty tworzą sieć zależności. Demografia zwiększa presję fiskalną i konkurencję o kadry. Słabe finanse ograniczają możliwość równoległego finansowania bezpieczeństwa, usług i inwestycji. Niski kapitał społeczny zwiększa koszt reform, a słaby ład instytucjonalny utrudnia prowadzenie polityki ponad kadencjami. Bezpieczeństwo publiczne i projekty strategiczne zależą natomiast od stabilnych reguł, kadr i finansowania.</w:t>
      </w:r>
    </w:p>
    <w:tbl>
      <w:tblPr>
        <w:tblStyle w:val="Tabela-Siatka"/>
        <w:tblW w:w="0" w:type="auto"/>
        <w:jc w:val="center"/>
        <w:tblLook w:val="04A0" w:firstRow="1" w:lastRow="0" w:firstColumn="1" w:lastColumn="0" w:noHBand="0" w:noVBand="1"/>
      </w:tblPr>
      <w:tblGrid>
        <w:gridCol w:w="2376"/>
        <w:gridCol w:w="3960"/>
        <w:gridCol w:w="3168"/>
      </w:tblGrid>
      <w:tr w:rsidR="003357E9" w:rsidRPr="00BA4F7F" w14:paraId="1C6D30FF" w14:textId="77777777">
        <w:trPr>
          <w:cantSplit/>
          <w:tblHeader/>
          <w:jc w:val="center"/>
        </w:trPr>
        <w:tc>
          <w:tcPr>
            <w:tcW w:w="2376" w:type="dxa"/>
            <w:shd w:val="clear" w:color="auto" w:fill="238C8C"/>
            <w:tcMar>
              <w:top w:w="70" w:type="dxa"/>
              <w:left w:w="85" w:type="dxa"/>
              <w:bottom w:w="70" w:type="dxa"/>
              <w:right w:w="85" w:type="dxa"/>
            </w:tcMar>
            <w:vAlign w:val="center"/>
          </w:tcPr>
          <w:p w14:paraId="50663F65" w14:textId="77777777" w:rsidR="003357E9" w:rsidRPr="00BA4F7F" w:rsidRDefault="00000000">
            <w:pPr>
              <w:spacing w:after="0"/>
              <w:jc w:val="center"/>
            </w:pPr>
            <w:r w:rsidRPr="00BA4F7F">
              <w:rPr>
                <w:b/>
                <w:color w:val="FFFFFF"/>
                <w:sz w:val="15"/>
              </w:rPr>
              <w:t>Priorytet horyzontalny</w:t>
            </w:r>
          </w:p>
        </w:tc>
        <w:tc>
          <w:tcPr>
            <w:tcW w:w="3960" w:type="dxa"/>
            <w:shd w:val="clear" w:color="auto" w:fill="238C8C"/>
            <w:tcMar>
              <w:top w:w="70" w:type="dxa"/>
              <w:left w:w="85" w:type="dxa"/>
              <w:bottom w:w="70" w:type="dxa"/>
              <w:right w:w="85" w:type="dxa"/>
            </w:tcMar>
            <w:vAlign w:val="center"/>
          </w:tcPr>
          <w:p w14:paraId="7D9ADE07" w14:textId="77777777" w:rsidR="003357E9" w:rsidRPr="00BA4F7F" w:rsidRDefault="00000000">
            <w:pPr>
              <w:spacing w:after="0"/>
              <w:jc w:val="center"/>
            </w:pPr>
            <w:r w:rsidRPr="00BA4F7F">
              <w:rPr>
                <w:b/>
                <w:color w:val="FFFFFF"/>
                <w:sz w:val="15"/>
              </w:rPr>
              <w:t>Główna funkcja mitygująca</w:t>
            </w:r>
          </w:p>
        </w:tc>
        <w:tc>
          <w:tcPr>
            <w:tcW w:w="3168" w:type="dxa"/>
            <w:shd w:val="clear" w:color="auto" w:fill="238C8C"/>
            <w:tcMar>
              <w:top w:w="70" w:type="dxa"/>
              <w:left w:w="85" w:type="dxa"/>
              <w:bottom w:w="70" w:type="dxa"/>
              <w:right w:w="85" w:type="dxa"/>
            </w:tcMar>
            <w:vAlign w:val="center"/>
          </w:tcPr>
          <w:p w14:paraId="3944B8AA" w14:textId="77777777" w:rsidR="003357E9" w:rsidRPr="00BA4F7F" w:rsidRDefault="00000000">
            <w:pPr>
              <w:spacing w:after="0"/>
              <w:jc w:val="center"/>
            </w:pPr>
            <w:r w:rsidRPr="00BA4F7F">
              <w:rPr>
                <w:b/>
                <w:color w:val="FFFFFF"/>
                <w:sz w:val="15"/>
              </w:rPr>
              <w:t>Miernik wiarygodnej poprawy</w:t>
            </w:r>
          </w:p>
        </w:tc>
      </w:tr>
      <w:tr w:rsidR="003357E9" w:rsidRPr="00BA4F7F" w14:paraId="36DC082D" w14:textId="77777777">
        <w:trPr>
          <w:cantSplit/>
          <w:jc w:val="center"/>
        </w:trPr>
        <w:tc>
          <w:tcPr>
            <w:tcW w:w="2376" w:type="dxa"/>
            <w:tcMar>
              <w:top w:w="70" w:type="dxa"/>
              <w:left w:w="85" w:type="dxa"/>
              <w:bottom w:w="70" w:type="dxa"/>
              <w:right w:w="85" w:type="dxa"/>
            </w:tcMar>
            <w:vAlign w:val="center"/>
          </w:tcPr>
          <w:p w14:paraId="23FD54F2" w14:textId="77777777" w:rsidR="003357E9" w:rsidRPr="00BA4F7F" w:rsidRDefault="00000000">
            <w:pPr>
              <w:spacing w:after="0"/>
            </w:pPr>
            <w:r w:rsidRPr="00BA4F7F">
              <w:rPr>
                <w:color w:val="1E1E1E"/>
                <w:sz w:val="15"/>
              </w:rPr>
              <w:t>Odporność demograficzna</w:t>
            </w:r>
          </w:p>
        </w:tc>
        <w:tc>
          <w:tcPr>
            <w:tcW w:w="3960" w:type="dxa"/>
            <w:tcMar>
              <w:top w:w="70" w:type="dxa"/>
              <w:left w:w="85" w:type="dxa"/>
              <w:bottom w:w="70" w:type="dxa"/>
              <w:right w:w="85" w:type="dxa"/>
            </w:tcMar>
            <w:vAlign w:val="center"/>
          </w:tcPr>
          <w:p w14:paraId="48B08521" w14:textId="77777777" w:rsidR="003357E9" w:rsidRPr="00BA4F7F" w:rsidRDefault="00000000">
            <w:pPr>
              <w:spacing w:after="0"/>
            </w:pPr>
            <w:r w:rsidRPr="00BA4F7F">
              <w:rPr>
                <w:color w:val="1E1E1E"/>
                <w:sz w:val="15"/>
              </w:rPr>
              <w:t>ograniczenie barier i stabilizacja warunków tworzenia rodzin</w:t>
            </w:r>
          </w:p>
        </w:tc>
        <w:tc>
          <w:tcPr>
            <w:tcW w:w="3168" w:type="dxa"/>
            <w:tcMar>
              <w:top w:w="70" w:type="dxa"/>
              <w:left w:w="85" w:type="dxa"/>
              <w:bottom w:w="70" w:type="dxa"/>
              <w:right w:w="85" w:type="dxa"/>
            </w:tcMar>
            <w:vAlign w:val="center"/>
          </w:tcPr>
          <w:p w14:paraId="36F02C30" w14:textId="77777777" w:rsidR="003357E9" w:rsidRPr="00BA4F7F" w:rsidRDefault="00000000">
            <w:pPr>
              <w:spacing w:after="0"/>
            </w:pPr>
            <w:r w:rsidRPr="00BA4F7F">
              <w:rPr>
                <w:color w:val="1E1E1E"/>
                <w:sz w:val="15"/>
              </w:rPr>
              <w:t>poprawa barier poprzedzających decyzje, a następnie TFR i urodzeń</w:t>
            </w:r>
          </w:p>
        </w:tc>
      </w:tr>
      <w:tr w:rsidR="003357E9" w:rsidRPr="00BA4F7F" w14:paraId="74CDE916" w14:textId="77777777">
        <w:trPr>
          <w:cantSplit/>
          <w:jc w:val="center"/>
        </w:trPr>
        <w:tc>
          <w:tcPr>
            <w:tcW w:w="2376" w:type="dxa"/>
            <w:shd w:val="clear" w:color="auto" w:fill="EDF1F4"/>
            <w:tcMar>
              <w:top w:w="70" w:type="dxa"/>
              <w:left w:w="85" w:type="dxa"/>
              <w:bottom w:w="70" w:type="dxa"/>
              <w:right w:w="85" w:type="dxa"/>
            </w:tcMar>
            <w:vAlign w:val="center"/>
          </w:tcPr>
          <w:p w14:paraId="32327EEA" w14:textId="77777777" w:rsidR="003357E9" w:rsidRPr="00BA4F7F" w:rsidRDefault="00000000">
            <w:pPr>
              <w:spacing w:after="0"/>
            </w:pPr>
            <w:r w:rsidRPr="00BA4F7F">
              <w:rPr>
                <w:color w:val="1E1E1E"/>
                <w:sz w:val="15"/>
              </w:rPr>
              <w:lastRenderedPageBreak/>
              <w:t>Rezerwa fiskalna</w:t>
            </w:r>
          </w:p>
        </w:tc>
        <w:tc>
          <w:tcPr>
            <w:tcW w:w="3960" w:type="dxa"/>
            <w:shd w:val="clear" w:color="auto" w:fill="EDF1F4"/>
            <w:tcMar>
              <w:top w:w="70" w:type="dxa"/>
              <w:left w:w="85" w:type="dxa"/>
              <w:bottom w:w="70" w:type="dxa"/>
              <w:right w:w="85" w:type="dxa"/>
            </w:tcMar>
            <w:vAlign w:val="center"/>
          </w:tcPr>
          <w:p w14:paraId="563BA54F" w14:textId="77777777" w:rsidR="003357E9" w:rsidRPr="00BA4F7F" w:rsidRDefault="00000000">
            <w:pPr>
              <w:spacing w:after="0"/>
            </w:pPr>
            <w:r w:rsidRPr="00BA4F7F">
              <w:rPr>
                <w:color w:val="1E1E1E"/>
                <w:sz w:val="15"/>
              </w:rPr>
              <w:t>ochrona zdolności finansowania następnego kryzysu</w:t>
            </w:r>
          </w:p>
        </w:tc>
        <w:tc>
          <w:tcPr>
            <w:tcW w:w="3168" w:type="dxa"/>
            <w:shd w:val="clear" w:color="auto" w:fill="EDF1F4"/>
            <w:tcMar>
              <w:top w:w="70" w:type="dxa"/>
              <w:left w:w="85" w:type="dxa"/>
              <w:bottom w:w="70" w:type="dxa"/>
              <w:right w:w="85" w:type="dxa"/>
            </w:tcMar>
            <w:vAlign w:val="center"/>
          </w:tcPr>
          <w:p w14:paraId="49419A6B" w14:textId="77777777" w:rsidR="003357E9" w:rsidRPr="00BA4F7F" w:rsidRDefault="00000000">
            <w:pPr>
              <w:spacing w:after="0"/>
            </w:pPr>
            <w:r w:rsidRPr="00BA4F7F">
              <w:rPr>
                <w:color w:val="1E1E1E"/>
                <w:sz w:val="15"/>
              </w:rPr>
              <w:t>trwały spadek deficytu przy zachowaniu inwestycji strategicznych</w:t>
            </w:r>
          </w:p>
        </w:tc>
      </w:tr>
      <w:tr w:rsidR="003357E9" w:rsidRPr="00BA4F7F" w14:paraId="3625D995" w14:textId="77777777">
        <w:trPr>
          <w:cantSplit/>
          <w:jc w:val="center"/>
        </w:trPr>
        <w:tc>
          <w:tcPr>
            <w:tcW w:w="2376" w:type="dxa"/>
            <w:tcMar>
              <w:top w:w="70" w:type="dxa"/>
              <w:left w:w="85" w:type="dxa"/>
              <w:bottom w:w="70" w:type="dxa"/>
              <w:right w:w="85" w:type="dxa"/>
            </w:tcMar>
            <w:vAlign w:val="center"/>
          </w:tcPr>
          <w:p w14:paraId="1A73F89D" w14:textId="77777777" w:rsidR="003357E9" w:rsidRPr="00BA4F7F" w:rsidRDefault="00000000">
            <w:pPr>
              <w:spacing w:after="0"/>
            </w:pPr>
            <w:r w:rsidRPr="00BA4F7F">
              <w:rPr>
                <w:color w:val="1E1E1E"/>
                <w:sz w:val="15"/>
              </w:rPr>
              <w:t>Wspólna finalność instytucjonalna</w:t>
            </w:r>
          </w:p>
        </w:tc>
        <w:tc>
          <w:tcPr>
            <w:tcW w:w="3960" w:type="dxa"/>
            <w:tcMar>
              <w:top w:w="70" w:type="dxa"/>
              <w:left w:w="85" w:type="dxa"/>
              <w:bottom w:w="70" w:type="dxa"/>
              <w:right w:w="85" w:type="dxa"/>
            </w:tcMar>
            <w:vAlign w:val="center"/>
          </w:tcPr>
          <w:p w14:paraId="6E15702E" w14:textId="77777777" w:rsidR="003357E9" w:rsidRPr="00BA4F7F" w:rsidRDefault="00000000">
            <w:pPr>
              <w:spacing w:after="0"/>
            </w:pPr>
            <w:r w:rsidRPr="00BA4F7F">
              <w:rPr>
                <w:color w:val="1E1E1E"/>
                <w:sz w:val="15"/>
              </w:rPr>
              <w:t>zmniejszenie odwracalności i kosztu decyzji</w:t>
            </w:r>
          </w:p>
        </w:tc>
        <w:tc>
          <w:tcPr>
            <w:tcW w:w="3168" w:type="dxa"/>
            <w:tcMar>
              <w:top w:w="70" w:type="dxa"/>
              <w:left w:w="85" w:type="dxa"/>
              <w:bottom w:w="70" w:type="dxa"/>
              <w:right w:w="85" w:type="dxa"/>
            </w:tcMar>
            <w:vAlign w:val="center"/>
          </w:tcPr>
          <w:p w14:paraId="477D8A0C" w14:textId="77777777" w:rsidR="003357E9" w:rsidRPr="00BA4F7F" w:rsidRDefault="00000000">
            <w:pPr>
              <w:spacing w:after="0"/>
            </w:pPr>
            <w:r w:rsidRPr="00BA4F7F">
              <w:rPr>
                <w:color w:val="1E1E1E"/>
                <w:sz w:val="15"/>
              </w:rPr>
              <w:t>wykonywane rozstrzygnięcia oraz reguły stabilne po zmianie większości</w:t>
            </w:r>
          </w:p>
        </w:tc>
      </w:tr>
      <w:tr w:rsidR="003357E9" w:rsidRPr="00BA4F7F" w14:paraId="725C72F0" w14:textId="77777777">
        <w:trPr>
          <w:cantSplit/>
          <w:jc w:val="center"/>
        </w:trPr>
        <w:tc>
          <w:tcPr>
            <w:tcW w:w="2376" w:type="dxa"/>
            <w:shd w:val="clear" w:color="auto" w:fill="EDF1F4"/>
            <w:tcMar>
              <w:top w:w="70" w:type="dxa"/>
              <w:left w:w="85" w:type="dxa"/>
              <w:bottom w:w="70" w:type="dxa"/>
              <w:right w:w="85" w:type="dxa"/>
            </w:tcMar>
            <w:vAlign w:val="center"/>
          </w:tcPr>
          <w:p w14:paraId="65190032" w14:textId="77777777" w:rsidR="003357E9" w:rsidRPr="00BA4F7F" w:rsidRDefault="00000000">
            <w:pPr>
              <w:spacing w:after="0"/>
            </w:pPr>
            <w:r w:rsidRPr="00BA4F7F">
              <w:rPr>
                <w:color w:val="1E1E1E"/>
                <w:sz w:val="15"/>
              </w:rPr>
              <w:t>Zdolność wykonawcza</w:t>
            </w:r>
          </w:p>
        </w:tc>
        <w:tc>
          <w:tcPr>
            <w:tcW w:w="3960" w:type="dxa"/>
            <w:shd w:val="clear" w:color="auto" w:fill="EDF1F4"/>
            <w:tcMar>
              <w:top w:w="70" w:type="dxa"/>
              <w:left w:w="85" w:type="dxa"/>
              <w:bottom w:w="70" w:type="dxa"/>
              <w:right w:w="85" w:type="dxa"/>
            </w:tcMar>
            <w:vAlign w:val="center"/>
          </w:tcPr>
          <w:p w14:paraId="0B295A8E" w14:textId="77777777" w:rsidR="003357E9" w:rsidRPr="00BA4F7F" w:rsidRDefault="00000000">
            <w:pPr>
              <w:spacing w:after="0"/>
            </w:pPr>
            <w:r w:rsidRPr="00BA4F7F">
              <w:rPr>
                <w:color w:val="1E1E1E"/>
                <w:sz w:val="15"/>
              </w:rPr>
              <w:t>domknięcie cyklu od decyzji do rezultatu</w:t>
            </w:r>
          </w:p>
        </w:tc>
        <w:tc>
          <w:tcPr>
            <w:tcW w:w="3168" w:type="dxa"/>
            <w:shd w:val="clear" w:color="auto" w:fill="EDF1F4"/>
            <w:tcMar>
              <w:top w:w="70" w:type="dxa"/>
              <w:left w:w="85" w:type="dxa"/>
              <w:bottom w:w="70" w:type="dxa"/>
              <w:right w:w="85" w:type="dxa"/>
            </w:tcMar>
            <w:vAlign w:val="center"/>
          </w:tcPr>
          <w:p w14:paraId="4C83ABA3" w14:textId="77777777" w:rsidR="003357E9" w:rsidRPr="00BA4F7F" w:rsidRDefault="00000000">
            <w:pPr>
              <w:spacing w:after="0"/>
            </w:pPr>
            <w:r w:rsidRPr="00BA4F7F">
              <w:rPr>
                <w:color w:val="1E1E1E"/>
                <w:sz w:val="15"/>
              </w:rPr>
              <w:t>więcej reform i projektów dowiezionych zgodnie z linią bazową</w:t>
            </w:r>
          </w:p>
        </w:tc>
      </w:tr>
      <w:tr w:rsidR="003357E9" w:rsidRPr="00BA4F7F" w14:paraId="1430C961" w14:textId="77777777">
        <w:trPr>
          <w:cantSplit/>
          <w:jc w:val="center"/>
        </w:trPr>
        <w:tc>
          <w:tcPr>
            <w:tcW w:w="2376" w:type="dxa"/>
            <w:tcMar>
              <w:top w:w="70" w:type="dxa"/>
              <w:left w:w="85" w:type="dxa"/>
              <w:bottom w:w="70" w:type="dxa"/>
              <w:right w:w="85" w:type="dxa"/>
            </w:tcMar>
            <w:vAlign w:val="center"/>
          </w:tcPr>
          <w:p w14:paraId="5FB26283" w14:textId="77777777" w:rsidR="003357E9" w:rsidRPr="00BA4F7F" w:rsidRDefault="00000000">
            <w:pPr>
              <w:spacing w:after="0"/>
            </w:pPr>
            <w:r w:rsidRPr="00BA4F7F">
              <w:rPr>
                <w:color w:val="1E1E1E"/>
                <w:sz w:val="15"/>
              </w:rPr>
              <w:t>Bezpieczeństwo i odporność społeczna</w:t>
            </w:r>
          </w:p>
        </w:tc>
        <w:tc>
          <w:tcPr>
            <w:tcW w:w="3960" w:type="dxa"/>
            <w:tcMar>
              <w:top w:w="70" w:type="dxa"/>
              <w:left w:w="85" w:type="dxa"/>
              <w:bottom w:w="70" w:type="dxa"/>
              <w:right w:w="85" w:type="dxa"/>
            </w:tcMar>
            <w:vAlign w:val="center"/>
          </w:tcPr>
          <w:p w14:paraId="597A2935" w14:textId="77777777" w:rsidR="003357E9" w:rsidRPr="00BA4F7F" w:rsidRDefault="00000000">
            <w:pPr>
              <w:spacing w:after="0"/>
            </w:pPr>
            <w:r w:rsidRPr="00BA4F7F">
              <w:rPr>
                <w:color w:val="1E1E1E"/>
                <w:sz w:val="15"/>
              </w:rPr>
              <w:t>spójna kontrola, gotowość cywilna i kooperacja</w:t>
            </w:r>
          </w:p>
        </w:tc>
        <w:tc>
          <w:tcPr>
            <w:tcW w:w="3168" w:type="dxa"/>
            <w:tcMar>
              <w:top w:w="70" w:type="dxa"/>
              <w:left w:w="85" w:type="dxa"/>
              <w:bottom w:w="70" w:type="dxa"/>
              <w:right w:w="85" w:type="dxa"/>
            </w:tcMar>
            <w:vAlign w:val="center"/>
          </w:tcPr>
          <w:p w14:paraId="3E8BCC7E" w14:textId="77777777" w:rsidR="003357E9" w:rsidRPr="00BA4F7F" w:rsidRDefault="00000000">
            <w:pPr>
              <w:spacing w:after="0"/>
            </w:pPr>
            <w:r w:rsidRPr="00BA4F7F">
              <w:rPr>
                <w:color w:val="1E1E1E"/>
                <w:sz w:val="15"/>
              </w:rPr>
              <w:t>ćwiczenia, audyty gotowości, stabilne procedury i wzrost zaufania</w:t>
            </w:r>
          </w:p>
        </w:tc>
      </w:tr>
    </w:tbl>
    <w:p w14:paraId="2EAA4C48" w14:textId="77777777" w:rsidR="003357E9" w:rsidRPr="00BA4F7F" w:rsidRDefault="00000000">
      <w:r w:rsidRPr="00BA4F7F">
        <w:t>Techniczne wyjście z alertu oznacza niespełnienie jego warunku w kolejnym obliczeniu. Nie jest to jednak tożsame z odbudową zdolności. Wiarygodna poprawa wymaga zgodności wyniku, danych źródłowych i praktyki instytucjonalnej oraz utrzymania kierunku przez więcej niż jedną obserwację. Efekt bazy, rewizja danych, jednorazowy transfer, przyjęcie ustawy bez wdrożenia albo podpisanie kontraktu bez osiągnięcia zdolności operacyjnej nie powinny być przedstawiane jako trwałe usunięcie ryzyka.</w:t>
      </w:r>
    </w:p>
    <w:p w14:paraId="563D28EB" w14:textId="77777777" w:rsidR="003357E9" w:rsidRPr="00BA4F7F" w:rsidRDefault="00000000">
      <w:r w:rsidRPr="00BA4F7F">
        <w:rPr>
          <w:b/>
          <w:color w:val="1F4E79"/>
        </w:rPr>
        <w:t>Najważniejsza konkluzja alertowa jest przekrojowa:</w:t>
      </w:r>
      <w:r w:rsidRPr="00BA4F7F">
        <w:t xml:space="preserve"> Polska nie znajduje się w stanie ogólnego paraliżu, lecz utrzymuje znaczną sprawność operacyjną przy równoczesnym osłabieniu zasobów i reguł potrzebnych do jej powtarzania. Odpowiedź racji stanu powinna więc chronić nie tylko bieżące wyniki, ale również zdolność do odtwarzania ludzi, pieniędzy, zaufania, prawa i odpowiedzialności wykonawczej.</w:t>
      </w:r>
    </w:p>
    <w:p w14:paraId="03579325" w14:textId="77777777" w:rsidR="00843C23" w:rsidRPr="00BA4F7F" w:rsidRDefault="00000000">
      <w:pPr>
        <w:pStyle w:val="Nagwek1"/>
        <w:pageBreakBefore/>
        <w:spacing w:before="0"/>
      </w:pPr>
      <w:bookmarkStart w:id="32" w:name="_Toc236400286"/>
      <w:bookmarkStart w:id="33" w:name="_Toc236400513"/>
      <w:r w:rsidRPr="00BA4F7F">
        <w:lastRenderedPageBreak/>
        <w:t>15. Zależności systemowe – gdzie spotykają się filary</w:t>
      </w:r>
      <w:bookmarkEnd w:id="32"/>
      <w:bookmarkEnd w:id="33"/>
    </w:p>
    <w:p w14:paraId="51B4A8C3" w14:textId="77777777" w:rsidR="00843C23" w:rsidRPr="00BA4F7F" w:rsidRDefault="00000000">
      <w:pPr>
        <w:pStyle w:val="Lead"/>
        <w:keepNext/>
        <w:rPr>
          <w:lang w:val="pl-PL"/>
        </w:rPr>
      </w:pPr>
      <w:r w:rsidRPr="00BA4F7F">
        <w:rPr>
          <w:lang w:val="pl-PL"/>
        </w:rPr>
        <w:t>IRS nie jest modelem przyczynowym, ale pozwala zidentyfikować łańcuchy ryzyka, które powinny być przedmiotem polityki państwa.</w:t>
      </w:r>
    </w:p>
    <w:p w14:paraId="1ABB3522" w14:textId="77777777" w:rsidR="00843C23" w:rsidRPr="00BA4F7F" w:rsidRDefault="00000000">
      <w:pPr>
        <w:spacing w:line="259" w:lineRule="auto"/>
      </w:pPr>
      <w:r w:rsidRPr="00BA4F7F">
        <w:t>Pierwszy łańcuch łączy demografię, rynek pracy i finanse publiczne. Kurczące się roczniki zmniejszają podaż pracy i bazę składkową, podczas gdy starzenie zwiększa popyt na zdrowie, opiekę i emerytury. Wysoki bieżący wynik rynku pracy może zatem poprzedzać narastające napięcie fiskalne.</w:t>
      </w:r>
    </w:p>
    <w:p w14:paraId="1AF2093C" w14:textId="77777777" w:rsidR="00843C23" w:rsidRPr="00BA4F7F" w:rsidRDefault="00000000">
      <w:pPr>
        <w:spacing w:line="259" w:lineRule="auto"/>
      </w:pPr>
      <w:r w:rsidRPr="00BA4F7F">
        <w:t>Drugi łańcuch łączy finanse publiczne, bezpieczeństwo i projekty strategiczne. Polska musi finansować jednocześnie modernizację wojskową, ochronę ludności, energetykę, sieci i transport. Jeżeli wzrost wydatków nie jest wsparty inwestycjami i dochodami, przestrzeń wyboru może zostać ograniczona przez koszty długu.</w:t>
      </w:r>
    </w:p>
    <w:p w14:paraId="5258F8E5" w14:textId="77777777" w:rsidR="00843C23" w:rsidRPr="00BA4F7F" w:rsidRDefault="00000000">
      <w:pPr>
        <w:spacing w:line="259" w:lineRule="auto"/>
      </w:pPr>
      <w:r w:rsidRPr="00BA4F7F">
        <w:t>Trzeci łańcuch łączy ład instytucjonalny, inwestycje i wiarygodność państwa. Niepewność prawa i kompetencji zwiększa koszt decyzji długoterminowej, nawet gdy konkretna inwestycja posiada specjalną ustawę. Wpływa na kontrakty, pozyskanie kadr, finansowanie i ryzyko zmiany kierunku.</w:t>
      </w:r>
    </w:p>
    <w:p w14:paraId="3A514893" w14:textId="77777777" w:rsidR="00843C23" w:rsidRPr="00BA4F7F" w:rsidRDefault="00000000">
      <w:pPr>
        <w:spacing w:line="259" w:lineRule="auto"/>
      </w:pPr>
      <w:r w:rsidRPr="00BA4F7F">
        <w:t>Czwarty łańcuch łączy spójność społeczną, legitymizację decyzji i odporność kryzysową. Państwo o niskim zaufaniu musi więcej zasobów przeznaczać na kontrolę i wymuszanie, a mniej może osiągać poprzez dobrowolne współdziałanie. Jest to szczególnie ważne w polityce migracyjnej, ochronie ludności, zdrowiu i trudnych reformach fiskalnych.</w:t>
      </w:r>
    </w:p>
    <w:p w14:paraId="5B5A1202" w14:textId="77777777" w:rsidR="00843C23" w:rsidRPr="00BA4F7F" w:rsidRDefault="00000000">
      <w:pPr>
        <w:spacing w:line="259" w:lineRule="auto"/>
      </w:pPr>
      <w:r w:rsidRPr="00BA4F7F">
        <w:t xml:space="preserve">Piąty łańcuch łączy cyfryzację, administrację, bezpieczeństwo i suwerenność technologiczną. Model pokazuje wyraźną lukę między komercyjnymi usługami cyfrowymi – 86,3 pkt – a </w:t>
      </w:r>
      <w:proofErr w:type="spellStart"/>
      <w:r w:rsidRPr="00BA4F7F">
        <w:t>cyberbezpieczeństwem</w:t>
      </w:r>
      <w:proofErr w:type="spellEnd"/>
      <w:r w:rsidRPr="00BA4F7F">
        <w:t xml:space="preserve"> – 53,8 pkt. Masowe usługi zwiększają dostępność państwa i produktywność gospodarki, lecz jednocześnie powiększają zależność od infrastruktury, dostawców, architektury danych, kompetencji regulacyjnych i zdolności utrzymania. Cyfryzacja wzmacnia państwo tylko wtedy, gdy sukces interfejsu nie ukrywa słabości zaplecza.</w:t>
      </w:r>
    </w:p>
    <w:tbl>
      <w:tblPr>
        <w:tblStyle w:val="Tabela-Siatka"/>
        <w:tblW w:w="0" w:type="auto"/>
        <w:jc w:val="center"/>
        <w:tblLayout w:type="fixed"/>
        <w:tblLook w:val="04A0" w:firstRow="1" w:lastRow="0" w:firstColumn="1" w:lastColumn="0" w:noHBand="0" w:noVBand="1"/>
      </w:tblPr>
      <w:tblGrid>
        <w:gridCol w:w="2448"/>
        <w:gridCol w:w="3600"/>
        <w:gridCol w:w="3312"/>
      </w:tblGrid>
      <w:tr w:rsidR="00843C23" w:rsidRPr="00BA4F7F" w14:paraId="0CD03A7E" w14:textId="77777777">
        <w:trPr>
          <w:cantSplit/>
          <w:tblHeader/>
          <w:jc w:val="center"/>
        </w:trPr>
        <w:tc>
          <w:tcPr>
            <w:tcW w:w="2448" w:type="dxa"/>
            <w:shd w:val="clear" w:color="auto" w:fill="1F4E79"/>
            <w:tcMar>
              <w:top w:w="70" w:type="dxa"/>
              <w:left w:w="80" w:type="dxa"/>
              <w:bottom w:w="70" w:type="dxa"/>
              <w:right w:w="80" w:type="dxa"/>
            </w:tcMar>
            <w:vAlign w:val="center"/>
          </w:tcPr>
          <w:p w14:paraId="2971B211" w14:textId="77777777" w:rsidR="00843C23" w:rsidRPr="00BA4F7F" w:rsidRDefault="00000000">
            <w:pPr>
              <w:jc w:val="center"/>
            </w:pPr>
            <w:r w:rsidRPr="00BA4F7F">
              <w:rPr>
                <w:b/>
                <w:color w:val="FFFFFF"/>
                <w:sz w:val="16"/>
              </w:rPr>
              <w:t>Łańcuch</w:t>
            </w:r>
          </w:p>
        </w:tc>
        <w:tc>
          <w:tcPr>
            <w:tcW w:w="3600" w:type="dxa"/>
            <w:shd w:val="clear" w:color="auto" w:fill="1F4E79"/>
            <w:tcMar>
              <w:top w:w="70" w:type="dxa"/>
              <w:left w:w="80" w:type="dxa"/>
              <w:bottom w:w="70" w:type="dxa"/>
              <w:right w:w="80" w:type="dxa"/>
            </w:tcMar>
            <w:vAlign w:val="center"/>
          </w:tcPr>
          <w:p w14:paraId="09C8F9C4" w14:textId="77777777" w:rsidR="00843C23" w:rsidRPr="00BA4F7F" w:rsidRDefault="00000000">
            <w:pPr>
              <w:jc w:val="center"/>
            </w:pPr>
            <w:r w:rsidRPr="00BA4F7F">
              <w:rPr>
                <w:b/>
                <w:color w:val="FFFFFF"/>
                <w:sz w:val="16"/>
              </w:rPr>
              <w:t>Mechanizm ryzyka</w:t>
            </w:r>
          </w:p>
        </w:tc>
        <w:tc>
          <w:tcPr>
            <w:tcW w:w="3312" w:type="dxa"/>
            <w:shd w:val="clear" w:color="auto" w:fill="1F4E79"/>
            <w:tcMar>
              <w:top w:w="70" w:type="dxa"/>
              <w:left w:w="80" w:type="dxa"/>
              <w:bottom w:w="70" w:type="dxa"/>
              <w:right w:w="80" w:type="dxa"/>
            </w:tcMar>
            <w:vAlign w:val="center"/>
          </w:tcPr>
          <w:p w14:paraId="7E228188" w14:textId="77777777" w:rsidR="00843C23" w:rsidRPr="00BA4F7F" w:rsidRDefault="00000000">
            <w:pPr>
              <w:jc w:val="center"/>
            </w:pPr>
            <w:r w:rsidRPr="00BA4F7F">
              <w:rPr>
                <w:b/>
                <w:color w:val="FFFFFF"/>
                <w:sz w:val="16"/>
              </w:rPr>
              <w:t>Wymagany typ odpowiedzi</w:t>
            </w:r>
          </w:p>
        </w:tc>
      </w:tr>
      <w:tr w:rsidR="00843C23" w:rsidRPr="00BA4F7F" w14:paraId="3479EAC3" w14:textId="77777777">
        <w:trPr>
          <w:cantSplit/>
          <w:jc w:val="center"/>
        </w:trPr>
        <w:tc>
          <w:tcPr>
            <w:tcW w:w="2448" w:type="dxa"/>
            <w:tcMar>
              <w:top w:w="60" w:type="dxa"/>
              <w:left w:w="70" w:type="dxa"/>
              <w:bottom w:w="60" w:type="dxa"/>
              <w:right w:w="70" w:type="dxa"/>
            </w:tcMar>
            <w:vAlign w:val="center"/>
          </w:tcPr>
          <w:p w14:paraId="2B609F75" w14:textId="77777777" w:rsidR="00843C23" w:rsidRPr="00BA4F7F" w:rsidRDefault="00000000">
            <w:pPr>
              <w:jc w:val="left"/>
            </w:pPr>
            <w:r w:rsidRPr="00BA4F7F">
              <w:rPr>
                <w:b/>
                <w:sz w:val="15"/>
              </w:rPr>
              <w:t>Demografia → praca → finanse</w:t>
            </w:r>
          </w:p>
        </w:tc>
        <w:tc>
          <w:tcPr>
            <w:tcW w:w="3600" w:type="dxa"/>
            <w:tcMar>
              <w:top w:w="60" w:type="dxa"/>
              <w:left w:w="70" w:type="dxa"/>
              <w:bottom w:w="60" w:type="dxa"/>
              <w:right w:w="70" w:type="dxa"/>
            </w:tcMar>
            <w:vAlign w:val="center"/>
          </w:tcPr>
          <w:p w14:paraId="34D2215F" w14:textId="77777777" w:rsidR="00843C23" w:rsidRPr="00BA4F7F" w:rsidRDefault="00000000">
            <w:pPr>
              <w:jc w:val="center"/>
            </w:pPr>
            <w:r w:rsidRPr="00BA4F7F">
              <w:rPr>
                <w:sz w:val="15"/>
              </w:rPr>
              <w:t>Mniej pracowników i więcej osób zależnych od transferów.</w:t>
            </w:r>
          </w:p>
        </w:tc>
        <w:tc>
          <w:tcPr>
            <w:tcW w:w="3312" w:type="dxa"/>
            <w:tcMar>
              <w:top w:w="60" w:type="dxa"/>
              <w:left w:w="70" w:type="dxa"/>
              <w:bottom w:w="60" w:type="dxa"/>
              <w:right w:w="70" w:type="dxa"/>
            </w:tcMar>
            <w:vAlign w:val="center"/>
          </w:tcPr>
          <w:p w14:paraId="7C57197E" w14:textId="77777777" w:rsidR="00843C23" w:rsidRPr="00BA4F7F" w:rsidRDefault="00000000">
            <w:pPr>
              <w:jc w:val="center"/>
            </w:pPr>
            <w:r w:rsidRPr="00BA4F7F">
              <w:rPr>
                <w:sz w:val="15"/>
              </w:rPr>
              <w:t>Polityka rodzinna, produktywność, aktywizacja i stabilizacja fiskalna.</w:t>
            </w:r>
          </w:p>
        </w:tc>
      </w:tr>
      <w:tr w:rsidR="00843C23" w:rsidRPr="00BA4F7F" w14:paraId="1E1C65A8" w14:textId="77777777">
        <w:trPr>
          <w:cantSplit/>
          <w:jc w:val="center"/>
        </w:trPr>
        <w:tc>
          <w:tcPr>
            <w:tcW w:w="2448" w:type="dxa"/>
            <w:shd w:val="clear" w:color="auto" w:fill="F7F7F7"/>
            <w:tcMar>
              <w:top w:w="60" w:type="dxa"/>
              <w:left w:w="70" w:type="dxa"/>
              <w:bottom w:w="60" w:type="dxa"/>
              <w:right w:w="70" w:type="dxa"/>
            </w:tcMar>
            <w:vAlign w:val="center"/>
          </w:tcPr>
          <w:p w14:paraId="44301B93" w14:textId="77777777" w:rsidR="00843C23" w:rsidRPr="00BA4F7F" w:rsidRDefault="00000000">
            <w:pPr>
              <w:jc w:val="left"/>
            </w:pPr>
            <w:r w:rsidRPr="00BA4F7F">
              <w:rPr>
                <w:b/>
                <w:sz w:val="15"/>
              </w:rPr>
              <w:t>Finanse → bezpieczeństwo → projekty</w:t>
            </w:r>
          </w:p>
        </w:tc>
        <w:tc>
          <w:tcPr>
            <w:tcW w:w="3600" w:type="dxa"/>
            <w:shd w:val="clear" w:color="auto" w:fill="F7F7F7"/>
            <w:tcMar>
              <w:top w:w="60" w:type="dxa"/>
              <w:left w:w="70" w:type="dxa"/>
              <w:bottom w:w="60" w:type="dxa"/>
              <w:right w:w="70" w:type="dxa"/>
            </w:tcMar>
            <w:vAlign w:val="center"/>
          </w:tcPr>
          <w:p w14:paraId="049E9CFD" w14:textId="77777777" w:rsidR="00843C23" w:rsidRPr="00BA4F7F" w:rsidRDefault="00000000">
            <w:pPr>
              <w:jc w:val="center"/>
            </w:pPr>
            <w:r w:rsidRPr="00BA4F7F">
              <w:rPr>
                <w:sz w:val="15"/>
              </w:rPr>
              <w:t>Konkurencja o kapitał i rosnące koszty obsługi.</w:t>
            </w:r>
          </w:p>
        </w:tc>
        <w:tc>
          <w:tcPr>
            <w:tcW w:w="3312" w:type="dxa"/>
            <w:shd w:val="clear" w:color="auto" w:fill="F7F7F7"/>
            <w:tcMar>
              <w:top w:w="60" w:type="dxa"/>
              <w:left w:w="70" w:type="dxa"/>
              <w:bottom w:w="60" w:type="dxa"/>
              <w:right w:w="70" w:type="dxa"/>
            </w:tcMar>
            <w:vAlign w:val="center"/>
          </w:tcPr>
          <w:p w14:paraId="53F94D6E" w14:textId="77777777" w:rsidR="00843C23" w:rsidRPr="00BA4F7F" w:rsidRDefault="00000000">
            <w:pPr>
              <w:jc w:val="center"/>
            </w:pPr>
            <w:r w:rsidRPr="00BA4F7F">
              <w:rPr>
                <w:sz w:val="15"/>
              </w:rPr>
              <w:t>Hierarchia wydatków, portfel inwestycji i wieloletnie finansowanie.</w:t>
            </w:r>
          </w:p>
        </w:tc>
      </w:tr>
      <w:tr w:rsidR="00843C23" w:rsidRPr="00BA4F7F" w14:paraId="76E5B69A" w14:textId="77777777">
        <w:trPr>
          <w:cantSplit/>
          <w:jc w:val="center"/>
        </w:trPr>
        <w:tc>
          <w:tcPr>
            <w:tcW w:w="2448" w:type="dxa"/>
            <w:tcMar>
              <w:top w:w="60" w:type="dxa"/>
              <w:left w:w="70" w:type="dxa"/>
              <w:bottom w:w="60" w:type="dxa"/>
              <w:right w:w="70" w:type="dxa"/>
            </w:tcMar>
            <w:vAlign w:val="center"/>
          </w:tcPr>
          <w:p w14:paraId="427498B3" w14:textId="77777777" w:rsidR="00843C23" w:rsidRPr="00BA4F7F" w:rsidRDefault="00000000">
            <w:pPr>
              <w:jc w:val="left"/>
            </w:pPr>
            <w:r w:rsidRPr="00BA4F7F">
              <w:rPr>
                <w:b/>
                <w:sz w:val="15"/>
              </w:rPr>
              <w:t>Ład → inwestycje → wiarygodność</w:t>
            </w:r>
          </w:p>
        </w:tc>
        <w:tc>
          <w:tcPr>
            <w:tcW w:w="3600" w:type="dxa"/>
            <w:tcMar>
              <w:top w:w="60" w:type="dxa"/>
              <w:left w:w="70" w:type="dxa"/>
              <w:bottom w:w="60" w:type="dxa"/>
              <w:right w:w="70" w:type="dxa"/>
            </w:tcMar>
            <w:vAlign w:val="center"/>
          </w:tcPr>
          <w:p w14:paraId="0E12ED7D" w14:textId="77777777" w:rsidR="00843C23" w:rsidRPr="00BA4F7F" w:rsidRDefault="00000000">
            <w:pPr>
              <w:jc w:val="center"/>
            </w:pPr>
            <w:r w:rsidRPr="00BA4F7F">
              <w:rPr>
                <w:sz w:val="15"/>
              </w:rPr>
              <w:t>Niepewność reguł podnosi koszt i skraca horyzont decyzji.</w:t>
            </w:r>
          </w:p>
        </w:tc>
        <w:tc>
          <w:tcPr>
            <w:tcW w:w="3312" w:type="dxa"/>
            <w:tcMar>
              <w:top w:w="60" w:type="dxa"/>
              <w:left w:w="70" w:type="dxa"/>
              <w:bottom w:w="60" w:type="dxa"/>
              <w:right w:w="70" w:type="dxa"/>
            </w:tcMar>
            <w:vAlign w:val="center"/>
          </w:tcPr>
          <w:p w14:paraId="072D7B74" w14:textId="77777777" w:rsidR="00843C23" w:rsidRPr="00BA4F7F" w:rsidRDefault="00000000">
            <w:pPr>
              <w:jc w:val="center"/>
            </w:pPr>
            <w:r w:rsidRPr="00BA4F7F">
              <w:rPr>
                <w:sz w:val="15"/>
              </w:rPr>
              <w:t xml:space="preserve">Stabilne prawo, egzekucja i transparentne </w:t>
            </w:r>
            <w:proofErr w:type="spellStart"/>
            <w:r w:rsidRPr="00BA4F7F">
              <w:rPr>
                <w:sz w:val="15"/>
              </w:rPr>
              <w:t>rebazowanie</w:t>
            </w:r>
            <w:proofErr w:type="spellEnd"/>
            <w:r w:rsidRPr="00BA4F7F">
              <w:rPr>
                <w:sz w:val="15"/>
              </w:rPr>
              <w:t>.</w:t>
            </w:r>
          </w:p>
        </w:tc>
      </w:tr>
      <w:tr w:rsidR="00843C23" w:rsidRPr="00BA4F7F" w14:paraId="6D8E7D93" w14:textId="77777777">
        <w:trPr>
          <w:cantSplit/>
          <w:jc w:val="center"/>
        </w:trPr>
        <w:tc>
          <w:tcPr>
            <w:tcW w:w="2448" w:type="dxa"/>
            <w:shd w:val="clear" w:color="auto" w:fill="F7F7F7"/>
            <w:tcMar>
              <w:top w:w="60" w:type="dxa"/>
              <w:left w:w="70" w:type="dxa"/>
              <w:bottom w:w="60" w:type="dxa"/>
              <w:right w:w="70" w:type="dxa"/>
            </w:tcMar>
            <w:vAlign w:val="center"/>
          </w:tcPr>
          <w:p w14:paraId="659B2B41" w14:textId="77777777" w:rsidR="00843C23" w:rsidRPr="00BA4F7F" w:rsidRDefault="00000000">
            <w:pPr>
              <w:jc w:val="left"/>
            </w:pPr>
            <w:r w:rsidRPr="00BA4F7F">
              <w:rPr>
                <w:b/>
                <w:sz w:val="15"/>
              </w:rPr>
              <w:t>Spójność → legitymizacja → kryzys</w:t>
            </w:r>
          </w:p>
        </w:tc>
        <w:tc>
          <w:tcPr>
            <w:tcW w:w="3600" w:type="dxa"/>
            <w:shd w:val="clear" w:color="auto" w:fill="F7F7F7"/>
            <w:tcMar>
              <w:top w:w="60" w:type="dxa"/>
              <w:left w:w="70" w:type="dxa"/>
              <w:bottom w:w="60" w:type="dxa"/>
              <w:right w:w="70" w:type="dxa"/>
            </w:tcMar>
            <w:vAlign w:val="center"/>
          </w:tcPr>
          <w:p w14:paraId="0CD73974" w14:textId="77777777" w:rsidR="00843C23" w:rsidRPr="00BA4F7F" w:rsidRDefault="00000000">
            <w:pPr>
              <w:jc w:val="center"/>
            </w:pPr>
            <w:r w:rsidRPr="00BA4F7F">
              <w:rPr>
                <w:sz w:val="15"/>
              </w:rPr>
              <w:t>Niskie zaufanie utrudnia mobilizację społeczną.</w:t>
            </w:r>
          </w:p>
        </w:tc>
        <w:tc>
          <w:tcPr>
            <w:tcW w:w="3312" w:type="dxa"/>
            <w:shd w:val="clear" w:color="auto" w:fill="F7F7F7"/>
            <w:tcMar>
              <w:top w:w="60" w:type="dxa"/>
              <w:left w:w="70" w:type="dxa"/>
              <w:bottom w:w="60" w:type="dxa"/>
              <w:right w:w="70" w:type="dxa"/>
            </w:tcMar>
            <w:vAlign w:val="center"/>
          </w:tcPr>
          <w:p w14:paraId="37C3CCA4" w14:textId="77777777" w:rsidR="00843C23" w:rsidRPr="00BA4F7F" w:rsidRDefault="00000000">
            <w:pPr>
              <w:jc w:val="center"/>
            </w:pPr>
            <w:r w:rsidRPr="00BA4F7F">
              <w:rPr>
                <w:sz w:val="15"/>
              </w:rPr>
              <w:t>Wspólnoty lokalne, komunikacja i instytucje pośrednie.</w:t>
            </w:r>
          </w:p>
        </w:tc>
      </w:tr>
      <w:tr w:rsidR="00843C23" w:rsidRPr="00BA4F7F" w14:paraId="3E979FC1" w14:textId="77777777">
        <w:trPr>
          <w:cantSplit/>
          <w:jc w:val="center"/>
        </w:trPr>
        <w:tc>
          <w:tcPr>
            <w:tcW w:w="2448" w:type="dxa"/>
            <w:tcMar>
              <w:top w:w="60" w:type="dxa"/>
              <w:left w:w="70" w:type="dxa"/>
              <w:bottom w:w="60" w:type="dxa"/>
              <w:right w:w="70" w:type="dxa"/>
            </w:tcMar>
            <w:vAlign w:val="center"/>
          </w:tcPr>
          <w:p w14:paraId="0E7473FB" w14:textId="77777777" w:rsidR="00843C23" w:rsidRPr="00BA4F7F" w:rsidRDefault="00000000">
            <w:pPr>
              <w:jc w:val="left"/>
            </w:pPr>
            <w:r w:rsidRPr="00BA4F7F">
              <w:rPr>
                <w:b/>
                <w:sz w:val="15"/>
              </w:rPr>
              <w:t>Cyfryzacja → dane → suwerenność</w:t>
            </w:r>
          </w:p>
        </w:tc>
        <w:tc>
          <w:tcPr>
            <w:tcW w:w="3600" w:type="dxa"/>
            <w:tcMar>
              <w:top w:w="60" w:type="dxa"/>
              <w:left w:w="70" w:type="dxa"/>
              <w:bottom w:w="60" w:type="dxa"/>
              <w:right w:w="70" w:type="dxa"/>
            </w:tcMar>
            <w:vAlign w:val="center"/>
          </w:tcPr>
          <w:p w14:paraId="2492162A" w14:textId="77777777" w:rsidR="00843C23" w:rsidRPr="00BA4F7F" w:rsidRDefault="00000000">
            <w:pPr>
              <w:jc w:val="center"/>
            </w:pPr>
            <w:r w:rsidRPr="00BA4F7F">
              <w:rPr>
                <w:sz w:val="15"/>
              </w:rPr>
              <w:t>Usługi masowe tworzą krytyczne zależności.</w:t>
            </w:r>
          </w:p>
        </w:tc>
        <w:tc>
          <w:tcPr>
            <w:tcW w:w="3312" w:type="dxa"/>
            <w:tcMar>
              <w:top w:w="60" w:type="dxa"/>
              <w:left w:w="70" w:type="dxa"/>
              <w:bottom w:w="60" w:type="dxa"/>
              <w:right w:w="70" w:type="dxa"/>
            </w:tcMar>
            <w:vAlign w:val="center"/>
          </w:tcPr>
          <w:p w14:paraId="136902A8" w14:textId="77777777" w:rsidR="00843C23" w:rsidRPr="00BA4F7F" w:rsidRDefault="00000000">
            <w:pPr>
              <w:jc w:val="center"/>
            </w:pPr>
            <w:r w:rsidRPr="00BA4F7F">
              <w:rPr>
                <w:sz w:val="15"/>
              </w:rPr>
              <w:t xml:space="preserve">Architektura danych, </w:t>
            </w:r>
            <w:proofErr w:type="spellStart"/>
            <w:r w:rsidRPr="00BA4F7F">
              <w:rPr>
                <w:sz w:val="15"/>
              </w:rPr>
              <w:t>cyberodporność</w:t>
            </w:r>
            <w:proofErr w:type="spellEnd"/>
            <w:r w:rsidRPr="00BA4F7F">
              <w:rPr>
                <w:sz w:val="15"/>
              </w:rPr>
              <w:t xml:space="preserve"> i krajowe kompetencje.</w:t>
            </w:r>
          </w:p>
        </w:tc>
      </w:tr>
    </w:tbl>
    <w:p w14:paraId="59D875D8" w14:textId="77777777" w:rsidR="00843C23" w:rsidRPr="00BA4F7F" w:rsidRDefault="00000000">
      <w:pPr>
        <w:spacing w:line="259" w:lineRule="auto"/>
      </w:pPr>
      <w:r w:rsidRPr="00BA4F7F">
        <w:br w:type="page"/>
      </w:r>
    </w:p>
    <w:p w14:paraId="602DCB4A" w14:textId="77777777" w:rsidR="00843C23" w:rsidRPr="00BA4F7F" w:rsidRDefault="00000000">
      <w:pPr>
        <w:pStyle w:val="Nagwek1"/>
        <w:pageBreakBefore/>
        <w:spacing w:before="0"/>
      </w:pPr>
      <w:bookmarkStart w:id="34" w:name="_Toc236400287"/>
      <w:bookmarkStart w:id="35" w:name="_Toc236400514"/>
      <w:r w:rsidRPr="00BA4F7F">
        <w:lastRenderedPageBreak/>
        <w:t>1</w:t>
      </w:r>
      <w:r w:rsidR="0019100C">
        <w:t>6</w:t>
      </w:r>
      <w:r w:rsidRPr="00BA4F7F">
        <w:t xml:space="preserve">. </w:t>
      </w:r>
      <w:r w:rsidR="002659F5" w:rsidRPr="00BA4F7F">
        <w:t>Aktualizacja i rewizje modelu IRS</w:t>
      </w:r>
      <w:bookmarkEnd w:id="34"/>
      <w:bookmarkEnd w:id="35"/>
    </w:p>
    <w:p w14:paraId="57DCBE55" w14:textId="77777777" w:rsidR="002659F5" w:rsidRPr="00BA4F7F" w:rsidRDefault="002659F5" w:rsidP="002659F5">
      <w:pPr>
        <w:spacing w:line="259" w:lineRule="auto"/>
      </w:pPr>
      <w:r w:rsidRPr="00BA4F7F">
        <w:t>Kolejne edycje Indeksu Racji Stanu powinny obejmować zarówno aktualizację dotychczas zgromadzonych danych, jak i kontrolowany rozwój zakresu modelu. Pierwsza edycja IRS stanowi punkt wyjścia do dalszej pracy badawczej, recenzji eksperckiej i debaty nad sposobem pomiaru strategicznych zdolności państwa. Uwagi zgłaszane przez ekspertów, instytucje publiczne, środowiska naukowe i innych uczestników debaty mogą uzasadniać uzupełnienie katalogu wskaźników, zmianę definicji, doprecyzowanie kryteriów albo korektę sposobu agregacji. Rozwój modelu nie może jednak prowadzić do doraźnego dostosowywania wyników do bieżącej narracji politycznej lub oczekiwanego obrazu państwa.</w:t>
      </w:r>
    </w:p>
    <w:p w14:paraId="4A7EA4A9" w14:textId="77777777" w:rsidR="002659F5" w:rsidRPr="00BA4F7F" w:rsidRDefault="002659F5" w:rsidP="002659F5">
      <w:pPr>
        <w:spacing w:line="259" w:lineRule="auto"/>
      </w:pPr>
      <w:r w:rsidRPr="00BA4F7F">
        <w:t>Podstawową zasadą kolejnych rewizji powinno być zachowanie pełnej przejrzystości, odtwarzalności i porównywalności wyników. Każda zmiana danych, zakresu, metody obliczeniowej albo oceny eksperckiej musi zostać jednoznacznie zaklasyfikowana, szczegółowo opisana i uzasadniona. Odbiorca powinien móc ustalić, czy zmiana wyniku wynika z rzeczywistej zmiany sytuacji państwa, publikacji nowych danych, korekty błędu, rewizji historycznej, zmiany interpretacji czy modyfikacji samego modelu.</w:t>
      </w:r>
    </w:p>
    <w:p w14:paraId="777FC2CE" w14:textId="77777777" w:rsidR="002659F5" w:rsidRPr="00BA4F7F" w:rsidRDefault="002659F5" w:rsidP="002659F5">
      <w:pPr>
        <w:pStyle w:val="IRSHeading2"/>
        <w:spacing w:line="259" w:lineRule="auto"/>
        <w:rPr>
          <w:bCs/>
          <w:lang w:val="pl-PL"/>
        </w:rPr>
      </w:pPr>
      <w:r w:rsidRPr="00BA4F7F">
        <w:rPr>
          <w:bCs/>
          <w:lang w:val="pl-PL"/>
        </w:rPr>
        <w:t>Zasady aktualizacji modelu</w:t>
      </w:r>
    </w:p>
    <w:p w14:paraId="7B6149C0" w14:textId="77777777" w:rsidR="002659F5" w:rsidRPr="00BA4F7F" w:rsidRDefault="002659F5" w:rsidP="002659F5">
      <w:pPr>
        <w:spacing w:line="259" w:lineRule="auto"/>
      </w:pPr>
      <w:r w:rsidRPr="00BA4F7F">
        <w:t>W kolejnych edycjach należy rozróżniać cztery podstawowe rodzaje zmian:</w:t>
      </w:r>
    </w:p>
    <w:tbl>
      <w:tblPr>
        <w:tblStyle w:val="Zwykatabela1"/>
        <w:tblW w:w="0" w:type="auto"/>
        <w:tblLook w:val="04A0" w:firstRow="1" w:lastRow="0" w:firstColumn="1" w:lastColumn="0" w:noHBand="0" w:noVBand="1"/>
      </w:tblPr>
      <w:tblGrid>
        <w:gridCol w:w="1877"/>
        <w:gridCol w:w="3461"/>
        <w:gridCol w:w="4630"/>
      </w:tblGrid>
      <w:tr w:rsidR="002659F5" w:rsidRPr="00BA4F7F" w14:paraId="454820AE" w14:textId="77777777" w:rsidTr="002659F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E5740C3" w14:textId="77777777" w:rsidR="002659F5" w:rsidRPr="00BA4F7F" w:rsidRDefault="002659F5" w:rsidP="002659F5">
            <w:pPr>
              <w:spacing w:line="259" w:lineRule="auto"/>
            </w:pPr>
            <w:r w:rsidRPr="00BA4F7F">
              <w:t>Rodzaj zmiany</w:t>
            </w:r>
          </w:p>
        </w:tc>
        <w:tc>
          <w:tcPr>
            <w:tcW w:w="0" w:type="auto"/>
            <w:hideMark/>
          </w:tcPr>
          <w:p w14:paraId="545C55FA" w14:textId="77777777" w:rsidR="002659F5" w:rsidRPr="00BA4F7F" w:rsidRDefault="002659F5" w:rsidP="002659F5">
            <w:pPr>
              <w:spacing w:line="259" w:lineRule="auto"/>
              <w:cnfStyle w:val="100000000000" w:firstRow="1" w:lastRow="0" w:firstColumn="0" w:lastColumn="0" w:oddVBand="0" w:evenVBand="0" w:oddHBand="0" w:evenHBand="0" w:firstRowFirstColumn="0" w:firstRowLastColumn="0" w:lastRowFirstColumn="0" w:lastRowLastColumn="0"/>
            </w:pPr>
            <w:r w:rsidRPr="00BA4F7F">
              <w:t>Zakres</w:t>
            </w:r>
          </w:p>
        </w:tc>
        <w:tc>
          <w:tcPr>
            <w:tcW w:w="0" w:type="auto"/>
            <w:hideMark/>
          </w:tcPr>
          <w:p w14:paraId="755B2931" w14:textId="77777777" w:rsidR="002659F5" w:rsidRPr="00BA4F7F" w:rsidRDefault="002659F5" w:rsidP="002659F5">
            <w:pPr>
              <w:spacing w:line="259" w:lineRule="auto"/>
              <w:cnfStyle w:val="100000000000" w:firstRow="1" w:lastRow="0" w:firstColumn="0" w:lastColumn="0" w:oddVBand="0" w:evenVBand="0" w:oddHBand="0" w:evenHBand="0" w:firstRowFirstColumn="0" w:firstRowLastColumn="0" w:lastRowFirstColumn="0" w:lastRowLastColumn="0"/>
            </w:pPr>
            <w:r w:rsidRPr="00BA4F7F">
              <w:t>Wymagany sposób dokumentowania</w:t>
            </w:r>
          </w:p>
        </w:tc>
      </w:tr>
      <w:tr w:rsidR="002659F5" w:rsidRPr="00BA4F7F" w14:paraId="3347D23D" w14:textId="77777777" w:rsidTr="002659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hideMark/>
          </w:tcPr>
          <w:p w14:paraId="7B1A91FE" w14:textId="77777777" w:rsidR="002659F5" w:rsidRPr="00BA4F7F" w:rsidRDefault="002659F5" w:rsidP="002659F5">
            <w:pPr>
              <w:spacing w:line="259" w:lineRule="auto"/>
            </w:pPr>
            <w:r w:rsidRPr="00BA4F7F">
              <w:t>Aktualizacja okresowa</w:t>
            </w:r>
          </w:p>
        </w:tc>
        <w:tc>
          <w:tcPr>
            <w:tcW w:w="0" w:type="auto"/>
            <w:hideMark/>
          </w:tcPr>
          <w:p w14:paraId="455FB4DC" w14:textId="77777777" w:rsidR="002659F5" w:rsidRPr="00BA4F7F" w:rsidRDefault="002659F5" w:rsidP="002659F5">
            <w:pPr>
              <w:spacing w:line="259" w:lineRule="auto"/>
              <w:cnfStyle w:val="000000100000" w:firstRow="0" w:lastRow="0" w:firstColumn="0" w:lastColumn="0" w:oddVBand="0" w:evenVBand="0" w:oddHBand="1" w:evenHBand="0" w:firstRowFirstColumn="0" w:firstRowLastColumn="0" w:lastRowFirstColumn="0" w:lastRowLastColumn="0"/>
            </w:pPr>
            <w:r w:rsidRPr="00BA4F7F">
              <w:t>Dodanie danych za kolejny rok przy zachowaniu dotychczasowej metody</w:t>
            </w:r>
          </w:p>
        </w:tc>
        <w:tc>
          <w:tcPr>
            <w:tcW w:w="0" w:type="auto"/>
            <w:hideMark/>
          </w:tcPr>
          <w:p w14:paraId="03AA31DE" w14:textId="77777777" w:rsidR="002659F5" w:rsidRPr="00BA4F7F" w:rsidRDefault="002659F5" w:rsidP="002659F5">
            <w:pPr>
              <w:spacing w:line="259" w:lineRule="auto"/>
              <w:cnfStyle w:val="000000100000" w:firstRow="0" w:lastRow="0" w:firstColumn="0" w:lastColumn="0" w:oddVBand="0" w:evenVBand="0" w:oddHBand="1" w:evenHBand="0" w:firstRowFirstColumn="0" w:firstRowLastColumn="0" w:lastRowFirstColumn="0" w:lastRowLastColumn="0"/>
            </w:pPr>
            <w:r w:rsidRPr="00BA4F7F">
              <w:t>wskazanie źródła, daty pozyskania danych, statusu obserwacji oraz wpływu na wynik</w:t>
            </w:r>
          </w:p>
        </w:tc>
      </w:tr>
      <w:tr w:rsidR="002659F5" w:rsidRPr="00BA4F7F" w14:paraId="1A2F5766" w14:textId="77777777" w:rsidTr="002659F5">
        <w:trPr>
          <w:cantSplit/>
        </w:trPr>
        <w:tc>
          <w:tcPr>
            <w:cnfStyle w:val="001000000000" w:firstRow="0" w:lastRow="0" w:firstColumn="1" w:lastColumn="0" w:oddVBand="0" w:evenVBand="0" w:oddHBand="0" w:evenHBand="0" w:firstRowFirstColumn="0" w:firstRowLastColumn="0" w:lastRowFirstColumn="0" w:lastRowLastColumn="0"/>
            <w:tcW w:w="0" w:type="auto"/>
            <w:hideMark/>
          </w:tcPr>
          <w:p w14:paraId="655937AA" w14:textId="77777777" w:rsidR="002659F5" w:rsidRPr="00BA4F7F" w:rsidRDefault="002659F5" w:rsidP="002659F5">
            <w:pPr>
              <w:spacing w:line="259" w:lineRule="auto"/>
            </w:pPr>
            <w:r w:rsidRPr="00BA4F7F">
              <w:t>Rewizja danych</w:t>
            </w:r>
          </w:p>
        </w:tc>
        <w:tc>
          <w:tcPr>
            <w:tcW w:w="0" w:type="auto"/>
            <w:hideMark/>
          </w:tcPr>
          <w:p w14:paraId="2AB955DE" w14:textId="77777777" w:rsidR="002659F5" w:rsidRPr="00BA4F7F" w:rsidRDefault="002659F5" w:rsidP="002659F5">
            <w:pPr>
              <w:spacing w:line="259" w:lineRule="auto"/>
              <w:cnfStyle w:val="000000000000" w:firstRow="0" w:lastRow="0" w:firstColumn="0" w:lastColumn="0" w:oddVBand="0" w:evenVBand="0" w:oddHBand="0" w:evenHBand="0" w:firstRowFirstColumn="0" w:firstRowLastColumn="0" w:lastRowFirstColumn="0" w:lastRowLastColumn="0"/>
            </w:pPr>
            <w:r w:rsidRPr="00BA4F7F">
              <w:t>Zastąpienie wartości wstępnej, szacunkowej albo błędnej wartością skorygowaną lub ostateczną</w:t>
            </w:r>
          </w:p>
        </w:tc>
        <w:tc>
          <w:tcPr>
            <w:tcW w:w="0" w:type="auto"/>
            <w:hideMark/>
          </w:tcPr>
          <w:p w14:paraId="231FE8B6" w14:textId="77777777" w:rsidR="002659F5" w:rsidRPr="00BA4F7F" w:rsidRDefault="002659F5" w:rsidP="002659F5">
            <w:pPr>
              <w:spacing w:line="259" w:lineRule="auto"/>
              <w:cnfStyle w:val="000000000000" w:firstRow="0" w:lastRow="0" w:firstColumn="0" w:lastColumn="0" w:oddVBand="0" w:evenVBand="0" w:oddHBand="0" w:evenHBand="0" w:firstRowFirstColumn="0" w:firstRowLastColumn="0" w:lastRowFirstColumn="0" w:lastRowLastColumn="0"/>
            </w:pPr>
            <w:r w:rsidRPr="00BA4F7F">
              <w:t>wartość poprzednia i nowa, przyczyna rewizji, data korekty oraz wpływ na szeregi historyczne</w:t>
            </w:r>
          </w:p>
        </w:tc>
      </w:tr>
      <w:tr w:rsidR="002659F5" w:rsidRPr="00BA4F7F" w14:paraId="4C21D42B" w14:textId="77777777" w:rsidTr="002659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hideMark/>
          </w:tcPr>
          <w:p w14:paraId="2538B042" w14:textId="77777777" w:rsidR="002659F5" w:rsidRPr="00BA4F7F" w:rsidRDefault="002659F5" w:rsidP="002659F5">
            <w:pPr>
              <w:spacing w:line="259" w:lineRule="auto"/>
            </w:pPr>
            <w:r w:rsidRPr="00BA4F7F">
              <w:t>Korekta metodologiczna</w:t>
            </w:r>
          </w:p>
        </w:tc>
        <w:tc>
          <w:tcPr>
            <w:tcW w:w="0" w:type="auto"/>
            <w:hideMark/>
          </w:tcPr>
          <w:p w14:paraId="0ACEA367" w14:textId="77777777" w:rsidR="002659F5" w:rsidRPr="00BA4F7F" w:rsidRDefault="002659F5" w:rsidP="002659F5">
            <w:pPr>
              <w:spacing w:line="259" w:lineRule="auto"/>
              <w:cnfStyle w:val="000000100000" w:firstRow="0" w:lastRow="0" w:firstColumn="0" w:lastColumn="0" w:oddVBand="0" w:evenVBand="0" w:oddHBand="1" w:evenHBand="0" w:firstRowFirstColumn="0" w:firstRowLastColumn="0" w:lastRowFirstColumn="0" w:lastRowLastColumn="0"/>
            </w:pPr>
            <w:r w:rsidRPr="00BA4F7F">
              <w:t>Usunięcie błędu w formule, definicji, progu, wadze albo sposobie agregacji</w:t>
            </w:r>
          </w:p>
        </w:tc>
        <w:tc>
          <w:tcPr>
            <w:tcW w:w="0" w:type="auto"/>
            <w:hideMark/>
          </w:tcPr>
          <w:p w14:paraId="345F6E93" w14:textId="77777777" w:rsidR="002659F5" w:rsidRPr="00BA4F7F" w:rsidRDefault="002659F5" w:rsidP="002659F5">
            <w:pPr>
              <w:spacing w:line="259" w:lineRule="auto"/>
              <w:cnfStyle w:val="000000100000" w:firstRow="0" w:lastRow="0" w:firstColumn="0" w:lastColumn="0" w:oddVBand="0" w:evenVBand="0" w:oddHBand="1" w:evenHBand="0" w:firstRowFirstColumn="0" w:firstRowLastColumn="0" w:lastRowFirstColumn="0" w:lastRowLastColumn="0"/>
            </w:pPr>
            <w:r w:rsidRPr="00BA4F7F">
              <w:t>pełne uzasadnienie, zakres oddziaływania, wyniki przed i po korekcie oraz niezależna weryfikacja</w:t>
            </w:r>
          </w:p>
        </w:tc>
      </w:tr>
      <w:tr w:rsidR="002659F5" w:rsidRPr="00BA4F7F" w14:paraId="2C8C7C30" w14:textId="77777777" w:rsidTr="002659F5">
        <w:trPr>
          <w:cantSplit/>
        </w:trPr>
        <w:tc>
          <w:tcPr>
            <w:cnfStyle w:val="001000000000" w:firstRow="0" w:lastRow="0" w:firstColumn="1" w:lastColumn="0" w:oddVBand="0" w:evenVBand="0" w:oddHBand="0" w:evenHBand="0" w:firstRowFirstColumn="0" w:firstRowLastColumn="0" w:lastRowFirstColumn="0" w:lastRowLastColumn="0"/>
            <w:tcW w:w="0" w:type="auto"/>
            <w:hideMark/>
          </w:tcPr>
          <w:p w14:paraId="48D55C7F" w14:textId="77777777" w:rsidR="002659F5" w:rsidRPr="00BA4F7F" w:rsidRDefault="002659F5" w:rsidP="002659F5">
            <w:pPr>
              <w:spacing w:line="259" w:lineRule="auto"/>
            </w:pPr>
            <w:r w:rsidRPr="00BA4F7F">
              <w:t>Rozwój zakresu modelu</w:t>
            </w:r>
          </w:p>
        </w:tc>
        <w:tc>
          <w:tcPr>
            <w:tcW w:w="0" w:type="auto"/>
            <w:hideMark/>
          </w:tcPr>
          <w:p w14:paraId="3C4A5D09" w14:textId="77777777" w:rsidR="002659F5" w:rsidRPr="00BA4F7F" w:rsidRDefault="002659F5" w:rsidP="002659F5">
            <w:pPr>
              <w:spacing w:line="259" w:lineRule="auto"/>
              <w:cnfStyle w:val="000000000000" w:firstRow="0" w:lastRow="0" w:firstColumn="0" w:lastColumn="0" w:oddVBand="0" w:evenVBand="0" w:oddHBand="0" w:evenHBand="0" w:firstRowFirstColumn="0" w:firstRowLastColumn="0" w:lastRowFirstColumn="0" w:lastRowLastColumn="0"/>
            </w:pPr>
            <w:r w:rsidRPr="00BA4F7F">
              <w:t xml:space="preserve">Dodanie, usunięcie lub przebudowa wskaźnika, projektu, kryterium albo </w:t>
            </w:r>
            <w:proofErr w:type="spellStart"/>
            <w:r w:rsidRPr="00BA4F7F">
              <w:t>subobszaru</w:t>
            </w:r>
            <w:proofErr w:type="spellEnd"/>
          </w:p>
        </w:tc>
        <w:tc>
          <w:tcPr>
            <w:tcW w:w="0" w:type="auto"/>
            <w:hideMark/>
          </w:tcPr>
          <w:p w14:paraId="0BE00780" w14:textId="77777777" w:rsidR="002659F5" w:rsidRPr="00BA4F7F" w:rsidRDefault="002659F5" w:rsidP="002659F5">
            <w:pPr>
              <w:spacing w:line="259" w:lineRule="auto"/>
              <w:cnfStyle w:val="000000000000" w:firstRow="0" w:lastRow="0" w:firstColumn="0" w:lastColumn="0" w:oddVBand="0" w:evenVBand="0" w:oddHBand="0" w:evenHBand="0" w:firstRowFirstColumn="0" w:firstRowLastColumn="0" w:lastRowFirstColumn="0" w:lastRowLastColumn="0"/>
            </w:pPr>
            <w:r w:rsidRPr="00BA4F7F">
              <w:t>uzasadnienie strategiczne i metodologiczne, ocena wpływu na porównywalność oraz decyzja dotycząca przeliczenia szeregu historycznego</w:t>
            </w:r>
          </w:p>
        </w:tc>
      </w:tr>
    </w:tbl>
    <w:p w14:paraId="24850A3E" w14:textId="77777777" w:rsidR="002659F5" w:rsidRPr="00BA4F7F" w:rsidRDefault="002659F5" w:rsidP="002659F5">
      <w:pPr>
        <w:spacing w:line="259" w:lineRule="auto"/>
      </w:pPr>
    </w:p>
    <w:p w14:paraId="1EE6A6F8" w14:textId="77777777" w:rsidR="002659F5" w:rsidRPr="00BA4F7F" w:rsidRDefault="002659F5" w:rsidP="002659F5">
      <w:pPr>
        <w:spacing w:line="259" w:lineRule="auto"/>
      </w:pPr>
      <w:r w:rsidRPr="00BA4F7F">
        <w:t>Zmiana zakresu modelu powinna być dopuszczalna, jeżeli prowadzi do lepszego odzwierciedlenia strategicznych zdolności Rzeczypospolitej, usuwa istotną lukę pomiarową, ogranicza redundancję albo poprawia jakość i porównywalność danych. Nie powinna być wprowadzana wyłącznie dlatego, że określony wskaźnik generuje wynik niezgodny z intuicją autorów lub uczestników debaty.</w:t>
      </w:r>
    </w:p>
    <w:p w14:paraId="11A045A6" w14:textId="77777777" w:rsidR="002659F5" w:rsidRPr="00BA4F7F" w:rsidRDefault="002659F5" w:rsidP="002659F5">
      <w:pPr>
        <w:pStyle w:val="IRSHeading2"/>
        <w:spacing w:line="259" w:lineRule="auto"/>
        <w:rPr>
          <w:bCs/>
          <w:lang w:val="pl-PL"/>
        </w:rPr>
      </w:pPr>
      <w:r w:rsidRPr="00BA4F7F">
        <w:rPr>
          <w:bCs/>
          <w:lang w:val="pl-PL"/>
        </w:rPr>
        <w:t>Rejestr zmian i ścieżka zatwierdzania</w:t>
      </w:r>
    </w:p>
    <w:p w14:paraId="4C9CA4B4" w14:textId="77777777" w:rsidR="002659F5" w:rsidRPr="00BA4F7F" w:rsidRDefault="002659F5" w:rsidP="002659F5">
      <w:pPr>
        <w:spacing w:line="259" w:lineRule="auto"/>
      </w:pPr>
      <w:r w:rsidRPr="00BA4F7F">
        <w:t>Każda aktualizacja lub korekta powinna zostać ujęta w rejestrze zmian zawierającym co najmniej:</w:t>
      </w:r>
    </w:p>
    <w:p w14:paraId="30677E75" w14:textId="77777777" w:rsidR="002659F5" w:rsidRPr="00BA4F7F" w:rsidRDefault="002659F5" w:rsidP="002659F5">
      <w:pPr>
        <w:pStyle w:val="Listapunktowana"/>
        <w:numPr>
          <w:ilvl w:val="0"/>
          <w:numId w:val="12"/>
        </w:numPr>
        <w:spacing w:line="259" w:lineRule="auto"/>
      </w:pPr>
      <w:r w:rsidRPr="00BA4F7F">
        <w:t xml:space="preserve">identyfikator komponentu modelu; </w:t>
      </w:r>
    </w:p>
    <w:p w14:paraId="0D6B2C05" w14:textId="77777777" w:rsidR="002659F5" w:rsidRPr="00BA4F7F" w:rsidRDefault="002659F5" w:rsidP="002659F5">
      <w:pPr>
        <w:pStyle w:val="Listapunktowana"/>
        <w:numPr>
          <w:ilvl w:val="0"/>
          <w:numId w:val="12"/>
        </w:numPr>
        <w:spacing w:line="259" w:lineRule="auto"/>
      </w:pPr>
      <w:r w:rsidRPr="00BA4F7F">
        <w:t xml:space="preserve">rodzaj zmiany; </w:t>
      </w:r>
    </w:p>
    <w:p w14:paraId="6384634D" w14:textId="77777777" w:rsidR="002659F5" w:rsidRPr="00BA4F7F" w:rsidRDefault="002659F5" w:rsidP="002659F5">
      <w:pPr>
        <w:pStyle w:val="Listapunktowana"/>
        <w:numPr>
          <w:ilvl w:val="0"/>
          <w:numId w:val="12"/>
        </w:numPr>
        <w:spacing w:line="259" w:lineRule="auto"/>
      </w:pPr>
      <w:r w:rsidRPr="00BA4F7F">
        <w:t xml:space="preserve">poprzednią i nową wartość; </w:t>
      </w:r>
    </w:p>
    <w:p w14:paraId="68E2769C" w14:textId="77777777" w:rsidR="002659F5" w:rsidRPr="00BA4F7F" w:rsidRDefault="002659F5" w:rsidP="002659F5">
      <w:pPr>
        <w:pStyle w:val="Listapunktowana"/>
        <w:numPr>
          <w:ilvl w:val="0"/>
          <w:numId w:val="12"/>
        </w:numPr>
        <w:spacing w:line="259" w:lineRule="auto"/>
      </w:pPr>
      <w:r w:rsidRPr="00BA4F7F">
        <w:t xml:space="preserve">dotychczasowe i nowe źródło danych; </w:t>
      </w:r>
    </w:p>
    <w:p w14:paraId="52ED1F41" w14:textId="77777777" w:rsidR="002659F5" w:rsidRPr="00BA4F7F" w:rsidRDefault="002659F5" w:rsidP="002659F5">
      <w:pPr>
        <w:pStyle w:val="Listapunktowana"/>
        <w:numPr>
          <w:ilvl w:val="0"/>
          <w:numId w:val="12"/>
        </w:numPr>
        <w:spacing w:line="259" w:lineRule="auto"/>
      </w:pPr>
      <w:r w:rsidRPr="00BA4F7F">
        <w:t xml:space="preserve">uzasadnienie merytoryczne i metodologiczne; </w:t>
      </w:r>
    </w:p>
    <w:p w14:paraId="6DD4DF9F" w14:textId="77777777" w:rsidR="002659F5" w:rsidRPr="00BA4F7F" w:rsidRDefault="002659F5" w:rsidP="002659F5">
      <w:pPr>
        <w:pStyle w:val="Listapunktowana"/>
        <w:numPr>
          <w:ilvl w:val="0"/>
          <w:numId w:val="12"/>
        </w:numPr>
        <w:spacing w:line="259" w:lineRule="auto"/>
      </w:pPr>
      <w:r w:rsidRPr="00BA4F7F">
        <w:t xml:space="preserve">wpływ na wynik </w:t>
      </w:r>
      <w:proofErr w:type="spellStart"/>
      <w:r w:rsidRPr="00BA4F7F">
        <w:t>subobszaru</w:t>
      </w:r>
      <w:proofErr w:type="spellEnd"/>
      <w:r w:rsidRPr="00BA4F7F">
        <w:t xml:space="preserve">, </w:t>
      </w:r>
      <w:proofErr w:type="spellStart"/>
      <w:r w:rsidRPr="00BA4F7F">
        <w:t>subindeksu</w:t>
      </w:r>
      <w:proofErr w:type="spellEnd"/>
      <w:r w:rsidRPr="00BA4F7F">
        <w:t xml:space="preserve">, filaru i IRS; </w:t>
      </w:r>
    </w:p>
    <w:p w14:paraId="1A93BCE4" w14:textId="77777777" w:rsidR="002659F5" w:rsidRPr="00BA4F7F" w:rsidRDefault="002659F5" w:rsidP="002659F5">
      <w:pPr>
        <w:pStyle w:val="Listapunktowana"/>
        <w:numPr>
          <w:ilvl w:val="0"/>
          <w:numId w:val="12"/>
        </w:numPr>
        <w:spacing w:line="259" w:lineRule="auto"/>
      </w:pPr>
      <w:r w:rsidRPr="00BA4F7F">
        <w:t xml:space="preserve">datę wprowadzenia; </w:t>
      </w:r>
    </w:p>
    <w:p w14:paraId="30C2407C" w14:textId="77777777" w:rsidR="002659F5" w:rsidRPr="00BA4F7F" w:rsidRDefault="002659F5" w:rsidP="002659F5">
      <w:pPr>
        <w:pStyle w:val="Listapunktowana"/>
        <w:numPr>
          <w:ilvl w:val="0"/>
          <w:numId w:val="12"/>
        </w:numPr>
        <w:spacing w:line="259" w:lineRule="auto"/>
      </w:pPr>
      <w:r w:rsidRPr="00BA4F7F">
        <w:t xml:space="preserve">autora zmiany; </w:t>
      </w:r>
    </w:p>
    <w:p w14:paraId="27309DBB" w14:textId="77777777" w:rsidR="002659F5" w:rsidRPr="00BA4F7F" w:rsidRDefault="002659F5" w:rsidP="002659F5">
      <w:pPr>
        <w:pStyle w:val="Listapunktowana"/>
        <w:numPr>
          <w:ilvl w:val="0"/>
          <w:numId w:val="12"/>
        </w:numPr>
        <w:spacing w:line="259" w:lineRule="auto"/>
      </w:pPr>
      <w:r w:rsidRPr="00BA4F7F">
        <w:t xml:space="preserve">osobę dokonującą niezależnej weryfikacji; </w:t>
      </w:r>
    </w:p>
    <w:p w14:paraId="0F1FC9C1" w14:textId="77777777" w:rsidR="002659F5" w:rsidRPr="00BA4F7F" w:rsidRDefault="002659F5" w:rsidP="002659F5">
      <w:pPr>
        <w:pStyle w:val="Listapunktowana"/>
        <w:numPr>
          <w:ilvl w:val="0"/>
          <w:numId w:val="12"/>
        </w:numPr>
        <w:spacing w:line="259" w:lineRule="auto"/>
      </w:pPr>
      <w:r w:rsidRPr="00BA4F7F">
        <w:t xml:space="preserve">numer wersji modelu, od której zmiana obowiązuje. </w:t>
      </w:r>
    </w:p>
    <w:p w14:paraId="518BBB24" w14:textId="77777777" w:rsidR="002659F5" w:rsidRPr="00BA4F7F" w:rsidRDefault="002659F5" w:rsidP="002659F5">
      <w:pPr>
        <w:spacing w:line="259" w:lineRule="auto"/>
      </w:pPr>
      <w:r w:rsidRPr="00BA4F7F">
        <w:t>Korekty nie powinny być nanoszone bezpośrednio na opublikowaną wersję bez zachowania wcześniejszego pliku. Każda kolejna edycja powinna otrzymywać odrębny numer wersji, datę zamknięcia danych i opis zakresu obowiązywania. Wersje archiwalne powinny pozostać dostępne, aby możliwe było odtworzenie wcześniejszych obliczeń i ocena wpływu wprowadzonych modyfikacji.</w:t>
      </w:r>
    </w:p>
    <w:p w14:paraId="78973F99" w14:textId="77777777" w:rsidR="002659F5" w:rsidRPr="00BA4F7F" w:rsidRDefault="002659F5" w:rsidP="002659F5">
      <w:pPr>
        <w:pStyle w:val="IRSHeading2"/>
        <w:spacing w:line="259" w:lineRule="auto"/>
        <w:rPr>
          <w:bCs/>
          <w:lang w:val="pl-PL"/>
        </w:rPr>
      </w:pPr>
      <w:r w:rsidRPr="00BA4F7F">
        <w:rPr>
          <w:bCs/>
          <w:lang w:val="pl-PL"/>
        </w:rPr>
        <w:t>Porównywalność szeregu historycznego</w:t>
      </w:r>
    </w:p>
    <w:p w14:paraId="5D6FC385" w14:textId="77777777" w:rsidR="002659F5" w:rsidRPr="00BA4F7F" w:rsidRDefault="002659F5" w:rsidP="002659F5">
      <w:pPr>
        <w:spacing w:line="259" w:lineRule="auto"/>
      </w:pPr>
      <w:r w:rsidRPr="00BA4F7F">
        <w:t xml:space="preserve">Jeżeli zmiana metodologiczna wpływa na sposób rozumienia lub obliczania komponentu, należy rozstrzygnąć, czy możliwe jest wiarygodne przeliczenie całego szeregu historycznego według nowych zasad. W takim przypadku </w:t>
      </w:r>
      <w:r w:rsidRPr="00BA4F7F">
        <w:lastRenderedPageBreak/>
        <w:t>przeliczony szereg powinien zostać przedstawiony jako obowiązująca baza analityczna, a informacja o przeliczeniu powinna znaleźć się w dokumentacji modelu.</w:t>
      </w:r>
    </w:p>
    <w:p w14:paraId="23ACB7BC" w14:textId="77777777" w:rsidR="002659F5" w:rsidRPr="00BA4F7F" w:rsidRDefault="002659F5" w:rsidP="002659F5">
      <w:pPr>
        <w:spacing w:line="259" w:lineRule="auto"/>
      </w:pPr>
      <w:r w:rsidRPr="00BA4F7F">
        <w:t>Jeżeli pełne przeliczenie historyczne nie jest możliwe, należy:</w:t>
      </w:r>
    </w:p>
    <w:p w14:paraId="341168C9" w14:textId="77777777" w:rsidR="002659F5" w:rsidRPr="00BA4F7F" w:rsidRDefault="002659F5" w:rsidP="002659F5">
      <w:pPr>
        <w:pStyle w:val="Listapunktowana"/>
        <w:numPr>
          <w:ilvl w:val="0"/>
          <w:numId w:val="13"/>
        </w:numPr>
        <w:spacing w:line="259" w:lineRule="auto"/>
      </w:pPr>
      <w:r w:rsidRPr="00BA4F7F">
        <w:t xml:space="preserve">wyraźnie wskazać moment przerwania porównywalności; </w:t>
      </w:r>
    </w:p>
    <w:p w14:paraId="1AEDB76C" w14:textId="77777777" w:rsidR="002659F5" w:rsidRPr="00BA4F7F" w:rsidRDefault="002659F5" w:rsidP="002659F5">
      <w:pPr>
        <w:pStyle w:val="Listapunktowana"/>
        <w:numPr>
          <w:ilvl w:val="0"/>
          <w:numId w:val="13"/>
        </w:numPr>
        <w:spacing w:line="259" w:lineRule="auto"/>
      </w:pPr>
      <w:r w:rsidRPr="00BA4F7F">
        <w:t xml:space="preserve">oddzielić zmianę rzeczywistą od zmiany metody; </w:t>
      </w:r>
    </w:p>
    <w:p w14:paraId="2CA259E4" w14:textId="77777777" w:rsidR="002659F5" w:rsidRPr="00BA4F7F" w:rsidRDefault="002659F5" w:rsidP="002659F5">
      <w:pPr>
        <w:pStyle w:val="Listapunktowana"/>
        <w:numPr>
          <w:ilvl w:val="0"/>
          <w:numId w:val="13"/>
        </w:numPr>
        <w:spacing w:line="259" w:lineRule="auto"/>
      </w:pPr>
      <w:r w:rsidRPr="00BA4F7F">
        <w:t xml:space="preserve">nie przedstawiać różnicy między latami jako jednorodnego trendu; </w:t>
      </w:r>
    </w:p>
    <w:p w14:paraId="6B5F4762" w14:textId="77777777" w:rsidR="002659F5" w:rsidRPr="00BA4F7F" w:rsidRDefault="002659F5" w:rsidP="002659F5">
      <w:pPr>
        <w:pStyle w:val="Listapunktowana"/>
        <w:numPr>
          <w:ilvl w:val="0"/>
          <w:numId w:val="13"/>
        </w:numPr>
        <w:spacing w:line="259" w:lineRule="auto"/>
      </w:pPr>
      <w:r w:rsidRPr="00BA4F7F">
        <w:t xml:space="preserve">w razie potrzeby czasowo prezentować równolegle wynik według starej i nowej metody. </w:t>
      </w:r>
    </w:p>
    <w:p w14:paraId="41426659" w14:textId="77777777" w:rsidR="002659F5" w:rsidRPr="00BA4F7F" w:rsidRDefault="002659F5" w:rsidP="002659F5">
      <w:pPr>
        <w:spacing w:line="259" w:lineRule="auto"/>
      </w:pPr>
      <w:r w:rsidRPr="00BA4F7F">
        <w:t>Zmiana wyniku wynikająca z korekty metodologii nie powinna być interpretowana jako poprawa albo pogorszenie sytuacji państwa.</w:t>
      </w:r>
    </w:p>
    <w:p w14:paraId="2B5D45F7" w14:textId="77777777" w:rsidR="002659F5" w:rsidRPr="00BA4F7F" w:rsidRDefault="002659F5" w:rsidP="002659F5">
      <w:pPr>
        <w:pStyle w:val="IRSHeading2"/>
        <w:spacing w:line="259" w:lineRule="auto"/>
        <w:rPr>
          <w:bCs/>
          <w:lang w:val="pl-PL"/>
        </w:rPr>
      </w:pPr>
      <w:r w:rsidRPr="00BA4F7F">
        <w:rPr>
          <w:bCs/>
          <w:lang w:val="pl-PL"/>
        </w:rPr>
        <w:t>Oceny eksperckie</w:t>
      </w:r>
    </w:p>
    <w:p w14:paraId="3451E235" w14:textId="77777777" w:rsidR="002659F5" w:rsidRPr="00BA4F7F" w:rsidRDefault="002659F5" w:rsidP="002659F5">
      <w:pPr>
        <w:spacing w:line="259" w:lineRule="auto"/>
      </w:pPr>
      <w:r w:rsidRPr="00BA4F7F">
        <w:t>Oceny eksperckie wymagają szczególnie rygorystycznej ścieżki aktualizacji. Każda zmiana punktacji powinna wynikać z nowego materiału dowodowego, zmiany stanu faktycznego, korekty błędu albo ponownej oceny przeprowadzonej według jawnych kryteriów.</w:t>
      </w:r>
    </w:p>
    <w:p w14:paraId="445FDE0D" w14:textId="77777777" w:rsidR="002659F5" w:rsidRPr="00BA4F7F" w:rsidRDefault="002659F5" w:rsidP="002659F5">
      <w:pPr>
        <w:spacing w:line="259" w:lineRule="auto"/>
      </w:pPr>
      <w:r w:rsidRPr="00BA4F7F">
        <w:t>Dobra praktyka powinna obejmować:</w:t>
      </w:r>
    </w:p>
    <w:p w14:paraId="2CD6678C" w14:textId="77777777" w:rsidR="002659F5" w:rsidRPr="00BA4F7F" w:rsidRDefault="002659F5" w:rsidP="002659F5">
      <w:pPr>
        <w:pStyle w:val="Listapunktowana"/>
        <w:numPr>
          <w:ilvl w:val="0"/>
          <w:numId w:val="14"/>
        </w:numPr>
        <w:spacing w:line="259" w:lineRule="auto"/>
      </w:pPr>
      <w:r w:rsidRPr="00BA4F7F">
        <w:t xml:space="preserve">co najmniej dwóch niezależnych oceniających w obszarach szczególnie złożonych lub politycznie spornych; </w:t>
      </w:r>
    </w:p>
    <w:p w14:paraId="384F42FF" w14:textId="77777777" w:rsidR="002659F5" w:rsidRPr="00BA4F7F" w:rsidRDefault="002659F5" w:rsidP="002659F5">
      <w:pPr>
        <w:pStyle w:val="Listapunktowana"/>
        <w:numPr>
          <w:ilvl w:val="0"/>
          <w:numId w:val="14"/>
        </w:numPr>
        <w:spacing w:line="259" w:lineRule="auto"/>
      </w:pPr>
      <w:r w:rsidRPr="00BA4F7F">
        <w:t xml:space="preserve">oddzielne zapisanie ocen pierwotnych; </w:t>
      </w:r>
    </w:p>
    <w:p w14:paraId="53CA0202" w14:textId="77777777" w:rsidR="002659F5" w:rsidRPr="00BA4F7F" w:rsidRDefault="002659F5" w:rsidP="002659F5">
      <w:pPr>
        <w:pStyle w:val="Listapunktowana"/>
        <w:numPr>
          <w:ilvl w:val="0"/>
          <w:numId w:val="14"/>
        </w:numPr>
        <w:spacing w:line="259" w:lineRule="auto"/>
      </w:pPr>
      <w:r w:rsidRPr="00BA4F7F">
        <w:t xml:space="preserve">arkusz różnic pomiędzy ekspertami; </w:t>
      </w:r>
    </w:p>
    <w:p w14:paraId="07BBEA9C" w14:textId="77777777" w:rsidR="002659F5" w:rsidRPr="00BA4F7F" w:rsidRDefault="002659F5" w:rsidP="002659F5">
      <w:pPr>
        <w:pStyle w:val="Listapunktowana"/>
        <w:numPr>
          <w:ilvl w:val="0"/>
          <w:numId w:val="14"/>
        </w:numPr>
        <w:spacing w:line="259" w:lineRule="auto"/>
      </w:pPr>
      <w:r w:rsidRPr="00BA4F7F">
        <w:t xml:space="preserve">krótkie uzasadnienie sposobu rozstrzygnięcia rozbieżności; </w:t>
      </w:r>
    </w:p>
    <w:p w14:paraId="4F241B04" w14:textId="77777777" w:rsidR="002659F5" w:rsidRPr="00BA4F7F" w:rsidRDefault="002659F5" w:rsidP="002659F5">
      <w:pPr>
        <w:pStyle w:val="Listapunktowana"/>
        <w:numPr>
          <w:ilvl w:val="0"/>
          <w:numId w:val="14"/>
        </w:numPr>
        <w:spacing w:line="259" w:lineRule="auto"/>
      </w:pPr>
      <w:r w:rsidRPr="00BA4F7F">
        <w:t xml:space="preserve">identyfikację źródeł potwierdzających najważniejsze fakty; </w:t>
      </w:r>
    </w:p>
    <w:p w14:paraId="372D5912" w14:textId="77777777" w:rsidR="002659F5" w:rsidRPr="00BA4F7F" w:rsidRDefault="002659F5" w:rsidP="002659F5">
      <w:pPr>
        <w:pStyle w:val="Listapunktowana"/>
        <w:numPr>
          <w:ilvl w:val="0"/>
          <w:numId w:val="14"/>
        </w:numPr>
        <w:spacing w:line="259" w:lineRule="auto"/>
      </w:pPr>
      <w:r w:rsidRPr="00BA4F7F">
        <w:t xml:space="preserve">weryfikację, czy ocena dotyczy stanu wiedzy właściwego dla badanego roku; </w:t>
      </w:r>
    </w:p>
    <w:p w14:paraId="61BEE19A" w14:textId="77777777" w:rsidR="002659F5" w:rsidRPr="00BA4F7F" w:rsidRDefault="002659F5" w:rsidP="002659F5">
      <w:pPr>
        <w:pStyle w:val="Listapunktowana"/>
        <w:numPr>
          <w:ilvl w:val="0"/>
          <w:numId w:val="14"/>
        </w:numPr>
        <w:spacing w:line="259" w:lineRule="auto"/>
      </w:pPr>
      <w:r w:rsidRPr="00BA4F7F">
        <w:t xml:space="preserve">kontrolę potencjalnych konfliktów interesów; </w:t>
      </w:r>
    </w:p>
    <w:p w14:paraId="72E1B785" w14:textId="77777777" w:rsidR="002659F5" w:rsidRPr="00BA4F7F" w:rsidRDefault="002659F5" w:rsidP="002659F5">
      <w:pPr>
        <w:pStyle w:val="Listapunktowana"/>
        <w:numPr>
          <w:ilvl w:val="0"/>
          <w:numId w:val="14"/>
        </w:numPr>
        <w:spacing w:line="259" w:lineRule="auto"/>
      </w:pPr>
      <w:r w:rsidRPr="00BA4F7F">
        <w:t xml:space="preserve">zatwierdzenie znaczących korekt przez osobę nieuczestniczącą w przygotowaniu pierwotnej oceny. </w:t>
      </w:r>
    </w:p>
    <w:p w14:paraId="584A5CB4" w14:textId="77777777" w:rsidR="002659F5" w:rsidRPr="00BA4F7F" w:rsidRDefault="002659F5" w:rsidP="002659F5">
      <w:pPr>
        <w:spacing w:line="259" w:lineRule="auto"/>
      </w:pPr>
      <w:r w:rsidRPr="00BA4F7F">
        <w:t>Szczególnego uzasadnienia wymagają zmiany punktacji eksperckiej o dużej skali, zmiany wsteczne oraz korekty dotyczące obszarów o wysokiej wadze w wyniku głównym. W takich przypadkach dokumentacja powinna wyjaśniać nie tylko, dlaczego nowa ocena jest właściwa, lecz także dlaczego ocena poprzednia wymagała zmiany.</w:t>
      </w:r>
    </w:p>
    <w:p w14:paraId="37D35B1B" w14:textId="77777777" w:rsidR="002659F5" w:rsidRPr="00BA4F7F" w:rsidRDefault="002659F5" w:rsidP="002659F5">
      <w:pPr>
        <w:pStyle w:val="IRSHeading2"/>
        <w:spacing w:line="259" w:lineRule="auto"/>
        <w:rPr>
          <w:bCs/>
          <w:lang w:val="pl-PL"/>
        </w:rPr>
      </w:pPr>
      <w:r w:rsidRPr="00BA4F7F">
        <w:rPr>
          <w:bCs/>
          <w:lang w:val="pl-PL"/>
        </w:rPr>
        <w:t>Dane wstępne, szacunkowe i rewidowane</w:t>
      </w:r>
    </w:p>
    <w:p w14:paraId="425ADBFF" w14:textId="77777777" w:rsidR="002659F5" w:rsidRPr="00BA4F7F" w:rsidRDefault="002659F5" w:rsidP="002659F5">
      <w:pPr>
        <w:spacing w:line="259" w:lineRule="auto"/>
      </w:pPr>
      <w:r w:rsidRPr="00BA4F7F">
        <w:t>Status danych powinien być oznaczony bezpośrednio w modelu. Należy odróżniać wartości:</w:t>
      </w:r>
    </w:p>
    <w:p w14:paraId="32B6A087" w14:textId="77777777" w:rsidR="002659F5" w:rsidRPr="00BA4F7F" w:rsidRDefault="002659F5" w:rsidP="002659F5">
      <w:pPr>
        <w:pStyle w:val="Listapunktowana"/>
        <w:numPr>
          <w:ilvl w:val="0"/>
          <w:numId w:val="15"/>
        </w:numPr>
        <w:spacing w:line="259" w:lineRule="auto"/>
      </w:pPr>
      <w:r w:rsidRPr="00BA4F7F">
        <w:t xml:space="preserve">ostateczne; </w:t>
      </w:r>
    </w:p>
    <w:p w14:paraId="23391B2F" w14:textId="77777777" w:rsidR="002659F5" w:rsidRPr="00BA4F7F" w:rsidRDefault="002659F5" w:rsidP="002659F5">
      <w:pPr>
        <w:pStyle w:val="Listapunktowana"/>
        <w:numPr>
          <w:ilvl w:val="0"/>
          <w:numId w:val="15"/>
        </w:numPr>
        <w:spacing w:line="259" w:lineRule="auto"/>
      </w:pPr>
      <w:r w:rsidRPr="00BA4F7F">
        <w:t xml:space="preserve">wstępne; </w:t>
      </w:r>
    </w:p>
    <w:p w14:paraId="60D4A021" w14:textId="77777777" w:rsidR="002659F5" w:rsidRPr="00BA4F7F" w:rsidRDefault="002659F5" w:rsidP="002659F5">
      <w:pPr>
        <w:pStyle w:val="Listapunktowana"/>
        <w:numPr>
          <w:ilvl w:val="0"/>
          <w:numId w:val="15"/>
        </w:numPr>
        <w:spacing w:line="259" w:lineRule="auto"/>
      </w:pPr>
      <w:r w:rsidRPr="00BA4F7F">
        <w:t xml:space="preserve">szacunkowe; </w:t>
      </w:r>
    </w:p>
    <w:p w14:paraId="58100BD2" w14:textId="77777777" w:rsidR="002659F5" w:rsidRPr="00BA4F7F" w:rsidRDefault="002659F5" w:rsidP="002659F5">
      <w:pPr>
        <w:pStyle w:val="Listapunktowana"/>
        <w:numPr>
          <w:ilvl w:val="0"/>
          <w:numId w:val="15"/>
        </w:numPr>
        <w:spacing w:line="259" w:lineRule="auto"/>
      </w:pPr>
      <w:r w:rsidRPr="00BA4F7F">
        <w:t xml:space="preserve">prognozowane; </w:t>
      </w:r>
    </w:p>
    <w:p w14:paraId="7AA25E76" w14:textId="77777777" w:rsidR="002659F5" w:rsidRPr="00BA4F7F" w:rsidRDefault="002659F5" w:rsidP="002659F5">
      <w:pPr>
        <w:pStyle w:val="Listapunktowana"/>
        <w:numPr>
          <w:ilvl w:val="0"/>
          <w:numId w:val="15"/>
        </w:numPr>
        <w:spacing w:line="259" w:lineRule="auto"/>
      </w:pPr>
      <w:r w:rsidRPr="00BA4F7F">
        <w:t xml:space="preserve">przeniesione z ostatniego dostępnego okresu; </w:t>
      </w:r>
    </w:p>
    <w:p w14:paraId="420ED9A4" w14:textId="77777777" w:rsidR="002659F5" w:rsidRPr="00BA4F7F" w:rsidRDefault="002659F5" w:rsidP="002659F5">
      <w:pPr>
        <w:pStyle w:val="Listapunktowana"/>
        <w:numPr>
          <w:ilvl w:val="0"/>
          <w:numId w:val="15"/>
        </w:numPr>
        <w:spacing w:line="259" w:lineRule="auto"/>
      </w:pPr>
      <w:r w:rsidRPr="00BA4F7F">
        <w:t xml:space="preserve">rekonstruowane; </w:t>
      </w:r>
    </w:p>
    <w:p w14:paraId="4EC03D52" w14:textId="77777777" w:rsidR="002659F5" w:rsidRPr="00BA4F7F" w:rsidRDefault="002659F5" w:rsidP="002659F5">
      <w:pPr>
        <w:pStyle w:val="Listapunktowana"/>
        <w:numPr>
          <w:ilvl w:val="0"/>
          <w:numId w:val="15"/>
        </w:numPr>
        <w:spacing w:line="259" w:lineRule="auto"/>
      </w:pPr>
      <w:r w:rsidRPr="00BA4F7F">
        <w:t xml:space="preserve">wynikające z oceny eksperckiej. </w:t>
      </w:r>
    </w:p>
    <w:p w14:paraId="3FFD5D56" w14:textId="77777777" w:rsidR="002659F5" w:rsidRPr="00BA4F7F" w:rsidRDefault="002659F5" w:rsidP="002659F5">
      <w:pPr>
        <w:spacing w:line="259" w:lineRule="auto"/>
      </w:pPr>
      <w:r w:rsidRPr="00BA4F7F">
        <w:t>Po opublikowaniu wartości ostatecznych należy stosować jednolitą politykę rewizji. Korekta powinna wskazywać datę aktualizacji, poprzednią wartość, nową wartość oraz informację, czy zmienił się wyłącznie odczyt danych, czy także interpretacja wyniku. Rewizje danych nie powinny być łączone w jednym komunikacie z modyfikacją metodologii, ponieważ utrudniałoby to ustalenie rzeczywistej przyczyny zmiany IRS.</w:t>
      </w:r>
    </w:p>
    <w:p w14:paraId="75F29151" w14:textId="77777777" w:rsidR="002659F5" w:rsidRPr="00BA4F7F" w:rsidRDefault="002659F5" w:rsidP="002659F5">
      <w:pPr>
        <w:pStyle w:val="IRSHeading2"/>
        <w:spacing w:line="259" w:lineRule="auto"/>
        <w:rPr>
          <w:bCs/>
          <w:lang w:val="pl-PL"/>
        </w:rPr>
      </w:pPr>
      <w:r w:rsidRPr="00BA4F7F">
        <w:rPr>
          <w:bCs/>
          <w:lang w:val="pl-PL"/>
        </w:rPr>
        <w:t>Rozwój modelu w debacie eksperckiej</w:t>
      </w:r>
    </w:p>
    <w:p w14:paraId="75BDD1E6" w14:textId="77777777" w:rsidR="002659F5" w:rsidRPr="00BA4F7F" w:rsidRDefault="002659F5" w:rsidP="002659F5">
      <w:pPr>
        <w:spacing w:line="259" w:lineRule="auto"/>
      </w:pPr>
      <w:r w:rsidRPr="00BA4F7F">
        <w:t>Uwagi zgłaszane po publikacji pierwszej edycji powinny być systematycznie gromadzone, klasyfikowane i analizowane. Nie każda propozycja musi prowadzić do zmiany modelu, lecz każda istotna uwaga powinna otrzymać rozstrzygnięcie: przyjęcie, częściowe uwzględnienie, skierowanie do dalszych badań albo odrzucenie wraz z uzasadnieniem.</w:t>
      </w:r>
    </w:p>
    <w:p w14:paraId="0E2A5FF7" w14:textId="77777777" w:rsidR="002659F5" w:rsidRPr="00BA4F7F" w:rsidRDefault="002659F5" w:rsidP="002659F5">
      <w:pPr>
        <w:spacing w:line="259" w:lineRule="auto"/>
      </w:pPr>
      <w:r w:rsidRPr="00BA4F7F">
        <w:t>W kolejnych rewizjach należy oceniać w szczególności:</w:t>
      </w:r>
    </w:p>
    <w:p w14:paraId="0AB04081" w14:textId="77777777" w:rsidR="002659F5" w:rsidRPr="00BA4F7F" w:rsidRDefault="002659F5" w:rsidP="002659F5">
      <w:pPr>
        <w:pStyle w:val="Listapunktowana"/>
        <w:numPr>
          <w:ilvl w:val="0"/>
          <w:numId w:val="16"/>
        </w:numPr>
        <w:spacing w:line="259" w:lineRule="auto"/>
      </w:pPr>
      <w:r w:rsidRPr="00BA4F7F">
        <w:t xml:space="preserve">czy zakres modelu obejmuje najważniejsze strategiczne zdolności państwa; </w:t>
      </w:r>
    </w:p>
    <w:p w14:paraId="26A74A10" w14:textId="77777777" w:rsidR="002659F5" w:rsidRPr="00BA4F7F" w:rsidRDefault="002659F5" w:rsidP="002659F5">
      <w:pPr>
        <w:pStyle w:val="Listapunktowana"/>
        <w:numPr>
          <w:ilvl w:val="0"/>
          <w:numId w:val="16"/>
        </w:numPr>
        <w:spacing w:line="259" w:lineRule="auto"/>
      </w:pPr>
      <w:r w:rsidRPr="00BA4F7F">
        <w:t xml:space="preserve">czy występują luki pomiarowe albo nadmierne nakładanie się wskaźników; </w:t>
      </w:r>
    </w:p>
    <w:p w14:paraId="7AD1204D" w14:textId="77777777" w:rsidR="002659F5" w:rsidRPr="00BA4F7F" w:rsidRDefault="002659F5" w:rsidP="002659F5">
      <w:pPr>
        <w:pStyle w:val="Listapunktowana"/>
        <w:numPr>
          <w:ilvl w:val="0"/>
          <w:numId w:val="16"/>
        </w:numPr>
        <w:spacing w:line="259" w:lineRule="auto"/>
      </w:pPr>
      <w:r w:rsidRPr="00BA4F7F">
        <w:t xml:space="preserve">czy dane pozostają dostępne, porównywalne i odporne na doraźne rewizje; </w:t>
      </w:r>
    </w:p>
    <w:p w14:paraId="43D117AB" w14:textId="77777777" w:rsidR="002659F5" w:rsidRPr="00BA4F7F" w:rsidRDefault="002659F5" w:rsidP="002659F5">
      <w:pPr>
        <w:pStyle w:val="Listapunktowana"/>
        <w:numPr>
          <w:ilvl w:val="0"/>
          <w:numId w:val="16"/>
        </w:numPr>
        <w:spacing w:line="259" w:lineRule="auto"/>
      </w:pPr>
      <w:r w:rsidRPr="00BA4F7F">
        <w:t xml:space="preserve">czy wagi i progi zachowują właściwości diagnostyczne; </w:t>
      </w:r>
    </w:p>
    <w:p w14:paraId="4785D1F6" w14:textId="77777777" w:rsidR="002659F5" w:rsidRPr="00BA4F7F" w:rsidRDefault="002659F5" w:rsidP="002659F5">
      <w:pPr>
        <w:pStyle w:val="Listapunktowana"/>
        <w:numPr>
          <w:ilvl w:val="0"/>
          <w:numId w:val="16"/>
        </w:numPr>
        <w:spacing w:line="259" w:lineRule="auto"/>
      </w:pPr>
      <w:r w:rsidRPr="00BA4F7F">
        <w:t xml:space="preserve">czy oceny eksperckie są wystarczająco udokumentowane i powtarzalne; </w:t>
      </w:r>
    </w:p>
    <w:p w14:paraId="73D4B836" w14:textId="77777777" w:rsidR="002659F5" w:rsidRPr="00BA4F7F" w:rsidRDefault="002659F5" w:rsidP="002659F5">
      <w:pPr>
        <w:pStyle w:val="Listapunktowana"/>
        <w:numPr>
          <w:ilvl w:val="0"/>
          <w:numId w:val="16"/>
        </w:numPr>
        <w:spacing w:line="259" w:lineRule="auto"/>
      </w:pPr>
      <w:r w:rsidRPr="00BA4F7F">
        <w:t xml:space="preserve">czy system alertów identyfikuje rzeczywiście istotne zagrożenia; </w:t>
      </w:r>
    </w:p>
    <w:p w14:paraId="42ABD465" w14:textId="77777777" w:rsidR="002659F5" w:rsidRPr="00BA4F7F" w:rsidRDefault="002659F5" w:rsidP="002659F5">
      <w:pPr>
        <w:pStyle w:val="Listapunktowana"/>
        <w:numPr>
          <w:ilvl w:val="0"/>
          <w:numId w:val="16"/>
        </w:numPr>
        <w:spacing w:line="259" w:lineRule="auto"/>
      </w:pPr>
      <w:r w:rsidRPr="00BA4F7F">
        <w:lastRenderedPageBreak/>
        <w:t xml:space="preserve">czy prezentacja wyników jest zrozumiała i nie prowadzi do nadinterpretacji; </w:t>
      </w:r>
    </w:p>
    <w:p w14:paraId="55000C5E" w14:textId="77777777" w:rsidR="002659F5" w:rsidRPr="00BA4F7F" w:rsidRDefault="002659F5" w:rsidP="002659F5">
      <w:pPr>
        <w:pStyle w:val="Listapunktowana"/>
        <w:numPr>
          <w:ilvl w:val="0"/>
          <w:numId w:val="16"/>
        </w:numPr>
        <w:spacing w:line="259" w:lineRule="auto"/>
      </w:pPr>
      <w:r w:rsidRPr="00BA4F7F">
        <w:t xml:space="preserve">czy model właściwie rozróżnia nakłady, aktywa, działania i faktycznie osiągnięte zdolności. </w:t>
      </w:r>
    </w:p>
    <w:p w14:paraId="7DE75EA4" w14:textId="77777777" w:rsidR="002659F5" w:rsidRPr="00BA4F7F" w:rsidRDefault="002659F5" w:rsidP="002659F5">
      <w:pPr>
        <w:spacing w:line="259" w:lineRule="auto"/>
      </w:pPr>
      <w:r w:rsidRPr="00BA4F7F">
        <w:t>Rozwój IRS powinien zachowywać równowagę między stabilnością a zdolnością uczenia się. Zbyt częste zmiany metodologiczne osłabiałyby porównywalność wyników, natomiast brak gotowości do korekty utrwalałby błędy pierwszej edycji. Każda modyfikacja powinna więc przechodzić przez uporządkowaną ścieżkę: identyfikację problemu, analizę alternatyw, test wpływu, recenzję, decyzję, dokumentację i publikację nowej wersji.</w:t>
      </w:r>
    </w:p>
    <w:p w14:paraId="3026BA62" w14:textId="77777777" w:rsidR="002659F5" w:rsidRPr="00BA4F7F" w:rsidRDefault="002659F5" w:rsidP="002659F5">
      <w:pPr>
        <w:spacing w:line="259" w:lineRule="auto"/>
      </w:pPr>
      <w:r w:rsidRPr="00BA4F7F">
        <w:t>Celem kolejnych edycji modelu IRS powinno być systematyczne zwiększanie jego rzetelności i użyteczności. IRS powinien rozwijać się jako jawne i profesjonalne narzędzie wspierające dyskusję o zdolności Rzeczypospolitej do ochrony własnej racji stanu. Korekty i uzupełnienia modelu mają służyć lepszemu rozpoznawaniu strategicznych słabości, bardziej odpowiedzialnemu ustalaniu priorytetów oraz podejmowaniu decyzji wzmacniających długookresowe interesy państwa.</w:t>
      </w:r>
    </w:p>
    <w:p w14:paraId="58C8FE5E" w14:textId="77777777" w:rsidR="002659F5" w:rsidRPr="00BA4F7F" w:rsidRDefault="002659F5">
      <w:pPr>
        <w:spacing w:line="259" w:lineRule="auto"/>
      </w:pPr>
    </w:p>
    <w:p w14:paraId="31D341E7" w14:textId="77777777" w:rsidR="00843C23" w:rsidRPr="00BA4F7F" w:rsidRDefault="00000000">
      <w:pPr>
        <w:pStyle w:val="ChapterKicker"/>
        <w:keepNext/>
        <w:keepLines/>
        <w:rPr>
          <w:lang w:val="pl-PL"/>
        </w:rPr>
      </w:pPr>
      <w:r w:rsidRPr="00BA4F7F">
        <w:rPr>
          <w:lang w:val="pl-PL"/>
        </w:rPr>
        <w:t>ANEKSY</w:t>
      </w:r>
    </w:p>
    <w:p w14:paraId="10940806" w14:textId="77777777" w:rsidR="00843C23" w:rsidRPr="00BA4F7F" w:rsidRDefault="00000000">
      <w:pPr>
        <w:pStyle w:val="Nagwek1"/>
        <w:spacing w:before="0"/>
      </w:pPr>
      <w:bookmarkStart w:id="36" w:name="_Toc236400288"/>
      <w:bookmarkStart w:id="37" w:name="_Toc236400515"/>
      <w:r w:rsidRPr="00BA4F7F">
        <w:t>Aneks A. Pełna tabela wyników IRS 2020–2025</w:t>
      </w:r>
      <w:bookmarkEnd w:id="36"/>
      <w:bookmarkEnd w:id="37"/>
    </w:p>
    <w:p w14:paraId="1A047E23" w14:textId="77777777" w:rsidR="00843C23" w:rsidRPr="00BA4F7F" w:rsidRDefault="00000000">
      <w:pPr>
        <w:pStyle w:val="Lead"/>
        <w:keepNext/>
        <w:rPr>
          <w:lang w:val="pl-PL"/>
        </w:rPr>
      </w:pPr>
      <w:r w:rsidRPr="00BA4F7F">
        <w:rPr>
          <w:lang w:val="pl-PL"/>
        </w:rPr>
        <w:t>Zestawienie prezentuje wyniki modelu w formacie publikacyjnym, zaokrąglone do jednego miejsca po przecinku.</w:t>
      </w:r>
    </w:p>
    <w:tbl>
      <w:tblPr>
        <w:tblStyle w:val="Tabela-Siatka"/>
        <w:tblW w:w="0" w:type="auto"/>
        <w:jc w:val="center"/>
        <w:tblLayout w:type="fixed"/>
        <w:tblLook w:val="04A0" w:firstRow="1" w:lastRow="0" w:firstColumn="1" w:lastColumn="0" w:noHBand="0" w:noVBand="1"/>
      </w:tblPr>
      <w:tblGrid>
        <w:gridCol w:w="2880"/>
        <w:gridCol w:w="792"/>
        <w:gridCol w:w="792"/>
        <w:gridCol w:w="792"/>
        <w:gridCol w:w="792"/>
        <w:gridCol w:w="792"/>
        <w:gridCol w:w="792"/>
        <w:gridCol w:w="1008"/>
      </w:tblGrid>
      <w:tr w:rsidR="00843C23" w:rsidRPr="00BA4F7F" w14:paraId="1450E5E1" w14:textId="77777777">
        <w:trPr>
          <w:cantSplit/>
          <w:tblHeader/>
          <w:jc w:val="center"/>
        </w:trPr>
        <w:tc>
          <w:tcPr>
            <w:tcW w:w="2880" w:type="dxa"/>
            <w:shd w:val="clear" w:color="auto" w:fill="1F4E79"/>
            <w:tcMar>
              <w:top w:w="70" w:type="dxa"/>
              <w:left w:w="80" w:type="dxa"/>
              <w:bottom w:w="70" w:type="dxa"/>
              <w:right w:w="80" w:type="dxa"/>
            </w:tcMar>
            <w:vAlign w:val="center"/>
          </w:tcPr>
          <w:p w14:paraId="3967C1C8" w14:textId="77777777" w:rsidR="00843C23" w:rsidRPr="00BA4F7F" w:rsidRDefault="00000000">
            <w:pPr>
              <w:jc w:val="center"/>
            </w:pPr>
            <w:r w:rsidRPr="00BA4F7F">
              <w:rPr>
                <w:b/>
                <w:color w:val="FFFFFF"/>
                <w:sz w:val="16"/>
              </w:rPr>
              <w:t>Pozycja</w:t>
            </w:r>
          </w:p>
        </w:tc>
        <w:tc>
          <w:tcPr>
            <w:tcW w:w="792" w:type="dxa"/>
            <w:shd w:val="clear" w:color="auto" w:fill="1F4E79"/>
            <w:tcMar>
              <w:top w:w="70" w:type="dxa"/>
              <w:left w:w="80" w:type="dxa"/>
              <w:bottom w:w="70" w:type="dxa"/>
              <w:right w:w="80" w:type="dxa"/>
            </w:tcMar>
            <w:vAlign w:val="center"/>
          </w:tcPr>
          <w:p w14:paraId="5C81F0EB" w14:textId="77777777" w:rsidR="00843C23" w:rsidRPr="00BA4F7F" w:rsidRDefault="00000000">
            <w:pPr>
              <w:jc w:val="center"/>
            </w:pPr>
            <w:r w:rsidRPr="00BA4F7F">
              <w:rPr>
                <w:b/>
                <w:color w:val="FFFFFF"/>
                <w:sz w:val="16"/>
              </w:rPr>
              <w:t>2020</w:t>
            </w:r>
          </w:p>
        </w:tc>
        <w:tc>
          <w:tcPr>
            <w:tcW w:w="792" w:type="dxa"/>
            <w:shd w:val="clear" w:color="auto" w:fill="1F4E79"/>
            <w:tcMar>
              <w:top w:w="70" w:type="dxa"/>
              <w:left w:w="80" w:type="dxa"/>
              <w:bottom w:w="70" w:type="dxa"/>
              <w:right w:w="80" w:type="dxa"/>
            </w:tcMar>
            <w:vAlign w:val="center"/>
          </w:tcPr>
          <w:p w14:paraId="00044A5B" w14:textId="77777777" w:rsidR="00843C23" w:rsidRPr="00BA4F7F" w:rsidRDefault="00000000">
            <w:pPr>
              <w:jc w:val="center"/>
            </w:pPr>
            <w:r w:rsidRPr="00BA4F7F">
              <w:rPr>
                <w:b/>
                <w:color w:val="FFFFFF"/>
                <w:sz w:val="16"/>
              </w:rPr>
              <w:t>2021</w:t>
            </w:r>
          </w:p>
        </w:tc>
        <w:tc>
          <w:tcPr>
            <w:tcW w:w="792" w:type="dxa"/>
            <w:shd w:val="clear" w:color="auto" w:fill="1F4E79"/>
            <w:tcMar>
              <w:top w:w="70" w:type="dxa"/>
              <w:left w:w="80" w:type="dxa"/>
              <w:bottom w:w="70" w:type="dxa"/>
              <w:right w:w="80" w:type="dxa"/>
            </w:tcMar>
            <w:vAlign w:val="center"/>
          </w:tcPr>
          <w:p w14:paraId="3FA53683" w14:textId="77777777" w:rsidR="00843C23" w:rsidRPr="00BA4F7F" w:rsidRDefault="00000000">
            <w:pPr>
              <w:jc w:val="center"/>
            </w:pPr>
            <w:r w:rsidRPr="00BA4F7F">
              <w:rPr>
                <w:b/>
                <w:color w:val="FFFFFF"/>
                <w:sz w:val="16"/>
              </w:rPr>
              <w:t>2022</w:t>
            </w:r>
          </w:p>
        </w:tc>
        <w:tc>
          <w:tcPr>
            <w:tcW w:w="792" w:type="dxa"/>
            <w:shd w:val="clear" w:color="auto" w:fill="1F4E79"/>
            <w:tcMar>
              <w:top w:w="70" w:type="dxa"/>
              <w:left w:w="80" w:type="dxa"/>
              <w:bottom w:w="70" w:type="dxa"/>
              <w:right w:w="80" w:type="dxa"/>
            </w:tcMar>
            <w:vAlign w:val="center"/>
          </w:tcPr>
          <w:p w14:paraId="402914EF" w14:textId="77777777" w:rsidR="00843C23" w:rsidRPr="00BA4F7F" w:rsidRDefault="00000000">
            <w:pPr>
              <w:jc w:val="center"/>
            </w:pPr>
            <w:r w:rsidRPr="00BA4F7F">
              <w:rPr>
                <w:b/>
                <w:color w:val="FFFFFF"/>
                <w:sz w:val="16"/>
              </w:rPr>
              <w:t>2023</w:t>
            </w:r>
          </w:p>
        </w:tc>
        <w:tc>
          <w:tcPr>
            <w:tcW w:w="792" w:type="dxa"/>
            <w:shd w:val="clear" w:color="auto" w:fill="1F4E79"/>
            <w:tcMar>
              <w:top w:w="70" w:type="dxa"/>
              <w:left w:w="80" w:type="dxa"/>
              <w:bottom w:w="70" w:type="dxa"/>
              <w:right w:w="80" w:type="dxa"/>
            </w:tcMar>
            <w:vAlign w:val="center"/>
          </w:tcPr>
          <w:p w14:paraId="0314F842" w14:textId="77777777" w:rsidR="00843C23" w:rsidRPr="00BA4F7F" w:rsidRDefault="00000000">
            <w:pPr>
              <w:jc w:val="center"/>
            </w:pPr>
            <w:r w:rsidRPr="00BA4F7F">
              <w:rPr>
                <w:b/>
                <w:color w:val="FFFFFF"/>
                <w:sz w:val="16"/>
              </w:rPr>
              <w:t>2024</w:t>
            </w:r>
          </w:p>
        </w:tc>
        <w:tc>
          <w:tcPr>
            <w:tcW w:w="792" w:type="dxa"/>
            <w:shd w:val="clear" w:color="auto" w:fill="1F4E79"/>
            <w:tcMar>
              <w:top w:w="70" w:type="dxa"/>
              <w:left w:w="80" w:type="dxa"/>
              <w:bottom w:w="70" w:type="dxa"/>
              <w:right w:w="80" w:type="dxa"/>
            </w:tcMar>
            <w:vAlign w:val="center"/>
          </w:tcPr>
          <w:p w14:paraId="5684B0E0" w14:textId="77777777" w:rsidR="00843C23" w:rsidRPr="00BA4F7F" w:rsidRDefault="00000000">
            <w:pPr>
              <w:jc w:val="center"/>
            </w:pPr>
            <w:r w:rsidRPr="00BA4F7F">
              <w:rPr>
                <w:b/>
                <w:color w:val="FFFFFF"/>
                <w:sz w:val="16"/>
              </w:rPr>
              <w:t>2025</w:t>
            </w:r>
          </w:p>
        </w:tc>
        <w:tc>
          <w:tcPr>
            <w:tcW w:w="1008" w:type="dxa"/>
            <w:shd w:val="clear" w:color="auto" w:fill="1F4E79"/>
            <w:tcMar>
              <w:top w:w="70" w:type="dxa"/>
              <w:left w:w="80" w:type="dxa"/>
              <w:bottom w:w="70" w:type="dxa"/>
              <w:right w:w="80" w:type="dxa"/>
            </w:tcMar>
            <w:vAlign w:val="center"/>
          </w:tcPr>
          <w:p w14:paraId="3B82645C" w14:textId="77777777" w:rsidR="00843C23" w:rsidRPr="00BA4F7F" w:rsidRDefault="00000000">
            <w:pPr>
              <w:jc w:val="center"/>
            </w:pPr>
            <w:r w:rsidRPr="00BA4F7F">
              <w:rPr>
                <w:b/>
                <w:color w:val="FFFFFF"/>
                <w:sz w:val="16"/>
              </w:rPr>
              <w:t>Zmiana</w:t>
            </w:r>
          </w:p>
        </w:tc>
      </w:tr>
      <w:tr w:rsidR="00843C23" w:rsidRPr="00BA4F7F" w14:paraId="257B4A40" w14:textId="77777777">
        <w:trPr>
          <w:cantSplit/>
          <w:jc w:val="center"/>
        </w:trPr>
        <w:tc>
          <w:tcPr>
            <w:tcW w:w="2880" w:type="dxa"/>
            <w:tcMar>
              <w:top w:w="60" w:type="dxa"/>
              <w:left w:w="70" w:type="dxa"/>
              <w:bottom w:w="60" w:type="dxa"/>
              <w:right w:w="70" w:type="dxa"/>
            </w:tcMar>
            <w:vAlign w:val="center"/>
          </w:tcPr>
          <w:p w14:paraId="7E8FB503" w14:textId="77777777" w:rsidR="00843C23" w:rsidRPr="00BA4F7F" w:rsidRDefault="00000000">
            <w:pPr>
              <w:jc w:val="left"/>
            </w:pPr>
            <w:r w:rsidRPr="00BA4F7F">
              <w:rPr>
                <w:b/>
                <w:sz w:val="15"/>
              </w:rPr>
              <w:t>Filar I – Kondycja systemowa</w:t>
            </w:r>
          </w:p>
        </w:tc>
        <w:tc>
          <w:tcPr>
            <w:tcW w:w="792" w:type="dxa"/>
            <w:tcMar>
              <w:top w:w="60" w:type="dxa"/>
              <w:left w:w="70" w:type="dxa"/>
              <w:bottom w:w="60" w:type="dxa"/>
              <w:right w:w="70" w:type="dxa"/>
            </w:tcMar>
            <w:vAlign w:val="center"/>
          </w:tcPr>
          <w:p w14:paraId="6A2030D8" w14:textId="77777777" w:rsidR="00843C23" w:rsidRPr="00BA4F7F" w:rsidRDefault="00000000">
            <w:pPr>
              <w:jc w:val="center"/>
            </w:pPr>
            <w:r w:rsidRPr="00BA4F7F">
              <w:rPr>
                <w:sz w:val="15"/>
              </w:rPr>
              <w:t>59,7</w:t>
            </w:r>
          </w:p>
        </w:tc>
        <w:tc>
          <w:tcPr>
            <w:tcW w:w="792" w:type="dxa"/>
            <w:tcMar>
              <w:top w:w="60" w:type="dxa"/>
              <w:left w:w="70" w:type="dxa"/>
              <w:bottom w:w="60" w:type="dxa"/>
              <w:right w:w="70" w:type="dxa"/>
            </w:tcMar>
            <w:vAlign w:val="center"/>
          </w:tcPr>
          <w:p w14:paraId="6FFEB8F0" w14:textId="77777777" w:rsidR="00843C23" w:rsidRPr="00BA4F7F" w:rsidRDefault="00000000">
            <w:r w:rsidRPr="00BA4F7F">
              <w:t>62,5</w:t>
            </w:r>
          </w:p>
        </w:tc>
        <w:tc>
          <w:tcPr>
            <w:tcW w:w="792" w:type="dxa"/>
            <w:tcMar>
              <w:top w:w="60" w:type="dxa"/>
              <w:left w:w="70" w:type="dxa"/>
              <w:bottom w:w="60" w:type="dxa"/>
              <w:right w:w="70" w:type="dxa"/>
            </w:tcMar>
            <w:vAlign w:val="center"/>
          </w:tcPr>
          <w:p w14:paraId="1A09D3AA" w14:textId="77777777" w:rsidR="00843C23" w:rsidRPr="00BA4F7F" w:rsidRDefault="00000000">
            <w:pPr>
              <w:jc w:val="center"/>
            </w:pPr>
            <w:r w:rsidRPr="00BA4F7F">
              <w:rPr>
                <w:sz w:val="15"/>
              </w:rPr>
              <w:t>60,0</w:t>
            </w:r>
          </w:p>
        </w:tc>
        <w:tc>
          <w:tcPr>
            <w:tcW w:w="792" w:type="dxa"/>
            <w:tcMar>
              <w:top w:w="60" w:type="dxa"/>
              <w:left w:w="70" w:type="dxa"/>
              <w:bottom w:w="60" w:type="dxa"/>
              <w:right w:w="70" w:type="dxa"/>
            </w:tcMar>
            <w:vAlign w:val="center"/>
          </w:tcPr>
          <w:p w14:paraId="0609D9A2" w14:textId="77777777" w:rsidR="00843C23" w:rsidRPr="00BA4F7F" w:rsidRDefault="00000000">
            <w:pPr>
              <w:jc w:val="center"/>
            </w:pPr>
            <w:r w:rsidRPr="00BA4F7F">
              <w:rPr>
                <w:sz w:val="15"/>
              </w:rPr>
              <w:t>60,8</w:t>
            </w:r>
          </w:p>
        </w:tc>
        <w:tc>
          <w:tcPr>
            <w:tcW w:w="792" w:type="dxa"/>
            <w:tcMar>
              <w:top w:w="60" w:type="dxa"/>
              <w:left w:w="70" w:type="dxa"/>
              <w:bottom w:w="60" w:type="dxa"/>
              <w:right w:w="70" w:type="dxa"/>
            </w:tcMar>
            <w:vAlign w:val="center"/>
          </w:tcPr>
          <w:p w14:paraId="42EECA28" w14:textId="77777777" w:rsidR="00843C23" w:rsidRPr="00BA4F7F" w:rsidRDefault="00000000">
            <w:pPr>
              <w:jc w:val="center"/>
            </w:pPr>
            <w:r w:rsidRPr="00BA4F7F">
              <w:rPr>
                <w:sz w:val="15"/>
              </w:rPr>
              <w:t>55,9</w:t>
            </w:r>
          </w:p>
        </w:tc>
        <w:tc>
          <w:tcPr>
            <w:tcW w:w="792" w:type="dxa"/>
            <w:tcMar>
              <w:top w:w="60" w:type="dxa"/>
              <w:left w:w="70" w:type="dxa"/>
              <w:bottom w:w="60" w:type="dxa"/>
              <w:right w:w="70" w:type="dxa"/>
            </w:tcMar>
            <w:vAlign w:val="center"/>
          </w:tcPr>
          <w:p w14:paraId="5DCE441C" w14:textId="77777777" w:rsidR="00843C23" w:rsidRPr="00BA4F7F" w:rsidRDefault="00000000">
            <w:pPr>
              <w:jc w:val="center"/>
            </w:pPr>
            <w:r w:rsidRPr="00BA4F7F">
              <w:rPr>
                <w:sz w:val="15"/>
              </w:rPr>
              <w:t>55,5</w:t>
            </w:r>
          </w:p>
        </w:tc>
        <w:tc>
          <w:tcPr>
            <w:tcW w:w="1008" w:type="dxa"/>
            <w:tcMar>
              <w:top w:w="60" w:type="dxa"/>
              <w:left w:w="70" w:type="dxa"/>
              <w:bottom w:w="60" w:type="dxa"/>
              <w:right w:w="70" w:type="dxa"/>
            </w:tcMar>
            <w:vAlign w:val="center"/>
          </w:tcPr>
          <w:p w14:paraId="4D17CF5F" w14:textId="77777777" w:rsidR="002C59F5" w:rsidRDefault="00000000">
            <w:r>
              <w:t>−4,3</w:t>
            </w:r>
          </w:p>
        </w:tc>
      </w:tr>
      <w:tr w:rsidR="00843C23" w:rsidRPr="00BA4F7F" w14:paraId="1822CBBC" w14:textId="77777777">
        <w:trPr>
          <w:cantSplit/>
          <w:jc w:val="center"/>
        </w:trPr>
        <w:tc>
          <w:tcPr>
            <w:tcW w:w="2880" w:type="dxa"/>
            <w:shd w:val="clear" w:color="auto" w:fill="F7F7F7"/>
            <w:tcMar>
              <w:top w:w="60" w:type="dxa"/>
              <w:left w:w="70" w:type="dxa"/>
              <w:bottom w:w="60" w:type="dxa"/>
              <w:right w:w="70" w:type="dxa"/>
            </w:tcMar>
            <w:vAlign w:val="center"/>
          </w:tcPr>
          <w:p w14:paraId="05DC51D2" w14:textId="77777777" w:rsidR="00843C23" w:rsidRPr="00BA4F7F" w:rsidRDefault="00000000">
            <w:pPr>
              <w:jc w:val="left"/>
            </w:pPr>
            <w:r w:rsidRPr="00BA4F7F">
              <w:rPr>
                <w:b/>
                <w:sz w:val="15"/>
              </w:rPr>
              <w:t>Filar II – Strategia i państwo</w:t>
            </w:r>
          </w:p>
        </w:tc>
        <w:tc>
          <w:tcPr>
            <w:tcW w:w="792" w:type="dxa"/>
            <w:shd w:val="clear" w:color="auto" w:fill="F7F7F7"/>
            <w:tcMar>
              <w:top w:w="60" w:type="dxa"/>
              <w:left w:w="70" w:type="dxa"/>
              <w:bottom w:w="60" w:type="dxa"/>
              <w:right w:w="70" w:type="dxa"/>
            </w:tcMar>
            <w:vAlign w:val="center"/>
          </w:tcPr>
          <w:p w14:paraId="703B8D39" w14:textId="77777777" w:rsidR="00843C23" w:rsidRPr="00BA4F7F" w:rsidRDefault="00000000">
            <w:pPr>
              <w:jc w:val="center"/>
            </w:pPr>
            <w:r>
              <w:rPr>
                <w:sz w:val="15"/>
              </w:rPr>
              <w:t>62,1</w:t>
            </w:r>
          </w:p>
        </w:tc>
        <w:tc>
          <w:tcPr>
            <w:tcW w:w="792" w:type="dxa"/>
            <w:shd w:val="clear" w:color="auto" w:fill="F7F7F7"/>
            <w:tcMar>
              <w:top w:w="60" w:type="dxa"/>
              <w:left w:w="70" w:type="dxa"/>
              <w:bottom w:w="60" w:type="dxa"/>
              <w:right w:w="70" w:type="dxa"/>
            </w:tcMar>
            <w:vAlign w:val="center"/>
          </w:tcPr>
          <w:p w14:paraId="37A5BCCB" w14:textId="77777777" w:rsidR="00843C23" w:rsidRPr="00BA4F7F" w:rsidRDefault="00000000">
            <w:pPr>
              <w:jc w:val="center"/>
            </w:pPr>
            <w:r>
              <w:rPr>
                <w:sz w:val="15"/>
              </w:rPr>
              <w:t>58,6</w:t>
            </w:r>
          </w:p>
        </w:tc>
        <w:tc>
          <w:tcPr>
            <w:tcW w:w="792" w:type="dxa"/>
            <w:shd w:val="clear" w:color="auto" w:fill="F7F7F7"/>
            <w:tcMar>
              <w:top w:w="60" w:type="dxa"/>
              <w:left w:w="70" w:type="dxa"/>
              <w:bottom w:w="60" w:type="dxa"/>
              <w:right w:w="70" w:type="dxa"/>
            </w:tcMar>
            <w:vAlign w:val="center"/>
          </w:tcPr>
          <w:p w14:paraId="6C487F9A" w14:textId="77777777" w:rsidR="00843C23" w:rsidRPr="00BA4F7F" w:rsidRDefault="00000000">
            <w:pPr>
              <w:jc w:val="center"/>
            </w:pPr>
            <w:r>
              <w:rPr>
                <w:sz w:val="15"/>
              </w:rPr>
              <w:t>63,2</w:t>
            </w:r>
          </w:p>
        </w:tc>
        <w:tc>
          <w:tcPr>
            <w:tcW w:w="792" w:type="dxa"/>
            <w:shd w:val="clear" w:color="auto" w:fill="F7F7F7"/>
            <w:tcMar>
              <w:top w:w="60" w:type="dxa"/>
              <w:left w:w="70" w:type="dxa"/>
              <w:bottom w:w="60" w:type="dxa"/>
              <w:right w:w="70" w:type="dxa"/>
            </w:tcMar>
            <w:vAlign w:val="center"/>
          </w:tcPr>
          <w:p w14:paraId="34541834" w14:textId="77777777" w:rsidR="00843C23" w:rsidRPr="00BA4F7F" w:rsidRDefault="00000000">
            <w:pPr>
              <w:jc w:val="center"/>
            </w:pPr>
            <w:r>
              <w:rPr>
                <w:sz w:val="15"/>
              </w:rPr>
              <w:t>59,7</w:t>
            </w:r>
          </w:p>
        </w:tc>
        <w:tc>
          <w:tcPr>
            <w:tcW w:w="792" w:type="dxa"/>
            <w:shd w:val="clear" w:color="auto" w:fill="F7F7F7"/>
            <w:tcMar>
              <w:top w:w="60" w:type="dxa"/>
              <w:left w:w="70" w:type="dxa"/>
              <w:bottom w:w="60" w:type="dxa"/>
              <w:right w:w="70" w:type="dxa"/>
            </w:tcMar>
            <w:vAlign w:val="center"/>
          </w:tcPr>
          <w:p w14:paraId="1931540A" w14:textId="77777777" w:rsidR="00843C23" w:rsidRPr="00BA4F7F" w:rsidRDefault="00000000">
            <w:pPr>
              <w:jc w:val="center"/>
            </w:pPr>
            <w:r>
              <w:rPr>
                <w:sz w:val="15"/>
              </w:rPr>
              <w:t>53,7</w:t>
            </w:r>
          </w:p>
        </w:tc>
        <w:tc>
          <w:tcPr>
            <w:tcW w:w="792" w:type="dxa"/>
            <w:shd w:val="clear" w:color="auto" w:fill="F7F7F7"/>
            <w:tcMar>
              <w:top w:w="60" w:type="dxa"/>
              <w:left w:w="70" w:type="dxa"/>
              <w:bottom w:w="60" w:type="dxa"/>
              <w:right w:w="70" w:type="dxa"/>
            </w:tcMar>
            <w:vAlign w:val="center"/>
          </w:tcPr>
          <w:p w14:paraId="1471D29C" w14:textId="77777777" w:rsidR="00843C23" w:rsidRPr="00BA4F7F" w:rsidRDefault="00000000">
            <w:pPr>
              <w:jc w:val="center"/>
            </w:pPr>
            <w:r>
              <w:rPr>
                <w:sz w:val="15"/>
              </w:rPr>
              <w:t>54,3</w:t>
            </w:r>
          </w:p>
        </w:tc>
        <w:tc>
          <w:tcPr>
            <w:tcW w:w="1008" w:type="dxa"/>
            <w:shd w:val="clear" w:color="auto" w:fill="F7F7F7"/>
            <w:tcMar>
              <w:top w:w="60" w:type="dxa"/>
              <w:left w:w="70" w:type="dxa"/>
              <w:bottom w:w="60" w:type="dxa"/>
              <w:right w:w="70" w:type="dxa"/>
            </w:tcMar>
            <w:vAlign w:val="center"/>
          </w:tcPr>
          <w:p w14:paraId="6DA96F61" w14:textId="77777777" w:rsidR="002C59F5" w:rsidRDefault="00000000">
            <w:r>
              <w:t>−7,8</w:t>
            </w:r>
          </w:p>
        </w:tc>
      </w:tr>
      <w:tr w:rsidR="00843C23" w:rsidRPr="00BA4F7F" w14:paraId="67774209" w14:textId="77777777">
        <w:trPr>
          <w:cantSplit/>
          <w:jc w:val="center"/>
        </w:trPr>
        <w:tc>
          <w:tcPr>
            <w:tcW w:w="2880" w:type="dxa"/>
            <w:tcMar>
              <w:top w:w="60" w:type="dxa"/>
              <w:left w:w="70" w:type="dxa"/>
              <w:bottom w:w="60" w:type="dxa"/>
              <w:right w:w="70" w:type="dxa"/>
            </w:tcMar>
            <w:vAlign w:val="center"/>
          </w:tcPr>
          <w:p w14:paraId="09EEA991" w14:textId="77777777" w:rsidR="00843C23" w:rsidRPr="00BA4F7F" w:rsidRDefault="00000000">
            <w:pPr>
              <w:jc w:val="left"/>
            </w:pPr>
            <w:r w:rsidRPr="00BA4F7F">
              <w:rPr>
                <w:b/>
                <w:sz w:val="15"/>
              </w:rPr>
              <w:t>IRS – wynik główny</w:t>
            </w:r>
          </w:p>
        </w:tc>
        <w:tc>
          <w:tcPr>
            <w:tcW w:w="792" w:type="dxa"/>
            <w:tcMar>
              <w:top w:w="60" w:type="dxa"/>
              <w:left w:w="70" w:type="dxa"/>
              <w:bottom w:w="60" w:type="dxa"/>
              <w:right w:w="70" w:type="dxa"/>
            </w:tcMar>
            <w:vAlign w:val="center"/>
          </w:tcPr>
          <w:p w14:paraId="23EBD0FB" w14:textId="77777777" w:rsidR="00843C23" w:rsidRPr="00BA4F7F" w:rsidRDefault="00000000">
            <w:pPr>
              <w:jc w:val="center"/>
            </w:pPr>
            <w:r>
              <w:rPr>
                <w:sz w:val="15"/>
              </w:rPr>
              <w:t>60,7</w:t>
            </w:r>
          </w:p>
        </w:tc>
        <w:tc>
          <w:tcPr>
            <w:tcW w:w="792" w:type="dxa"/>
            <w:tcMar>
              <w:top w:w="60" w:type="dxa"/>
              <w:left w:w="70" w:type="dxa"/>
              <w:bottom w:w="60" w:type="dxa"/>
              <w:right w:w="70" w:type="dxa"/>
            </w:tcMar>
            <w:vAlign w:val="center"/>
          </w:tcPr>
          <w:p w14:paraId="28BCF498" w14:textId="77777777" w:rsidR="00843C23" w:rsidRPr="00BA4F7F" w:rsidRDefault="00000000">
            <w:r>
              <w:t>60,9</w:t>
            </w:r>
          </w:p>
        </w:tc>
        <w:tc>
          <w:tcPr>
            <w:tcW w:w="792" w:type="dxa"/>
            <w:tcMar>
              <w:top w:w="60" w:type="dxa"/>
              <w:left w:w="70" w:type="dxa"/>
              <w:bottom w:w="60" w:type="dxa"/>
              <w:right w:w="70" w:type="dxa"/>
            </w:tcMar>
            <w:vAlign w:val="center"/>
          </w:tcPr>
          <w:p w14:paraId="740022AA" w14:textId="77777777" w:rsidR="00843C23" w:rsidRPr="00BA4F7F" w:rsidRDefault="00000000">
            <w:pPr>
              <w:jc w:val="center"/>
            </w:pPr>
            <w:r>
              <w:rPr>
                <w:sz w:val="15"/>
              </w:rPr>
              <w:t>61,3</w:t>
            </w:r>
          </w:p>
        </w:tc>
        <w:tc>
          <w:tcPr>
            <w:tcW w:w="792" w:type="dxa"/>
            <w:tcMar>
              <w:top w:w="60" w:type="dxa"/>
              <w:left w:w="70" w:type="dxa"/>
              <w:bottom w:w="60" w:type="dxa"/>
              <w:right w:w="70" w:type="dxa"/>
            </w:tcMar>
            <w:vAlign w:val="center"/>
          </w:tcPr>
          <w:p w14:paraId="443EBD7B" w14:textId="77777777" w:rsidR="00843C23" w:rsidRPr="00BA4F7F" w:rsidRDefault="00000000">
            <w:pPr>
              <w:jc w:val="center"/>
            </w:pPr>
            <w:r>
              <w:rPr>
                <w:sz w:val="15"/>
              </w:rPr>
              <w:t>60,3</w:t>
            </w:r>
          </w:p>
        </w:tc>
        <w:tc>
          <w:tcPr>
            <w:tcW w:w="792" w:type="dxa"/>
            <w:tcMar>
              <w:top w:w="60" w:type="dxa"/>
              <w:left w:w="70" w:type="dxa"/>
              <w:bottom w:w="60" w:type="dxa"/>
              <w:right w:w="70" w:type="dxa"/>
            </w:tcMar>
            <w:vAlign w:val="center"/>
          </w:tcPr>
          <w:p w14:paraId="35F7FCEA" w14:textId="77777777" w:rsidR="00843C23" w:rsidRPr="00BA4F7F" w:rsidRDefault="00000000">
            <w:pPr>
              <w:jc w:val="center"/>
            </w:pPr>
            <w:r>
              <w:rPr>
                <w:sz w:val="15"/>
              </w:rPr>
              <w:t>55,0</w:t>
            </w:r>
          </w:p>
        </w:tc>
        <w:tc>
          <w:tcPr>
            <w:tcW w:w="792" w:type="dxa"/>
            <w:tcMar>
              <w:top w:w="60" w:type="dxa"/>
              <w:left w:w="70" w:type="dxa"/>
              <w:bottom w:w="60" w:type="dxa"/>
              <w:right w:w="70" w:type="dxa"/>
            </w:tcMar>
            <w:vAlign w:val="center"/>
          </w:tcPr>
          <w:p w14:paraId="05AE5FB3" w14:textId="77777777" w:rsidR="00843C23" w:rsidRPr="00BA4F7F" w:rsidRDefault="00000000">
            <w:pPr>
              <w:jc w:val="center"/>
            </w:pPr>
            <w:r>
              <w:rPr>
                <w:sz w:val="15"/>
              </w:rPr>
              <w:t>55,0</w:t>
            </w:r>
          </w:p>
        </w:tc>
        <w:tc>
          <w:tcPr>
            <w:tcW w:w="1008" w:type="dxa"/>
            <w:tcMar>
              <w:top w:w="60" w:type="dxa"/>
              <w:left w:w="70" w:type="dxa"/>
              <w:bottom w:w="60" w:type="dxa"/>
              <w:right w:w="70" w:type="dxa"/>
            </w:tcMar>
            <w:vAlign w:val="center"/>
          </w:tcPr>
          <w:p w14:paraId="0D99FC78" w14:textId="77777777" w:rsidR="002C59F5" w:rsidRDefault="00000000">
            <w:r>
              <w:t>−5,7</w:t>
            </w:r>
          </w:p>
        </w:tc>
      </w:tr>
      <w:tr w:rsidR="00843C23" w:rsidRPr="00BA4F7F" w14:paraId="5E8824AD" w14:textId="77777777">
        <w:trPr>
          <w:cantSplit/>
          <w:jc w:val="center"/>
        </w:trPr>
        <w:tc>
          <w:tcPr>
            <w:tcW w:w="2880" w:type="dxa"/>
            <w:shd w:val="clear" w:color="auto" w:fill="F7F7F7"/>
            <w:tcMar>
              <w:top w:w="60" w:type="dxa"/>
              <w:left w:w="70" w:type="dxa"/>
              <w:bottom w:w="60" w:type="dxa"/>
              <w:right w:w="70" w:type="dxa"/>
            </w:tcMar>
            <w:vAlign w:val="center"/>
          </w:tcPr>
          <w:p w14:paraId="652D472F" w14:textId="77777777" w:rsidR="002C59F5" w:rsidRDefault="00000000">
            <w:r>
              <w:t>Gospodarka</w:t>
            </w:r>
          </w:p>
        </w:tc>
        <w:tc>
          <w:tcPr>
            <w:tcW w:w="792" w:type="dxa"/>
            <w:shd w:val="clear" w:color="auto" w:fill="F7F7F7"/>
            <w:tcMar>
              <w:top w:w="60" w:type="dxa"/>
              <w:left w:w="70" w:type="dxa"/>
              <w:bottom w:w="60" w:type="dxa"/>
              <w:right w:w="70" w:type="dxa"/>
            </w:tcMar>
            <w:vAlign w:val="center"/>
          </w:tcPr>
          <w:p w14:paraId="1510AFD7" w14:textId="77777777" w:rsidR="002C59F5" w:rsidRDefault="00000000">
            <w:r>
              <w:t>56,4</w:t>
            </w:r>
          </w:p>
        </w:tc>
        <w:tc>
          <w:tcPr>
            <w:tcW w:w="792" w:type="dxa"/>
            <w:shd w:val="clear" w:color="auto" w:fill="F7F7F7"/>
            <w:tcMar>
              <w:top w:w="60" w:type="dxa"/>
              <w:left w:w="70" w:type="dxa"/>
              <w:bottom w:w="60" w:type="dxa"/>
              <w:right w:w="70" w:type="dxa"/>
            </w:tcMar>
            <w:vAlign w:val="center"/>
          </w:tcPr>
          <w:p w14:paraId="3C3695CF" w14:textId="77777777" w:rsidR="002C59F5" w:rsidRDefault="00000000">
            <w:r>
              <w:t>72,5</w:t>
            </w:r>
          </w:p>
        </w:tc>
        <w:tc>
          <w:tcPr>
            <w:tcW w:w="792" w:type="dxa"/>
            <w:shd w:val="clear" w:color="auto" w:fill="F7F7F7"/>
            <w:tcMar>
              <w:top w:w="60" w:type="dxa"/>
              <w:left w:w="70" w:type="dxa"/>
              <w:bottom w:w="60" w:type="dxa"/>
              <w:right w:w="70" w:type="dxa"/>
            </w:tcMar>
            <w:vAlign w:val="center"/>
          </w:tcPr>
          <w:p w14:paraId="151E03B6" w14:textId="77777777" w:rsidR="002C59F5" w:rsidRDefault="00000000">
            <w:r>
              <w:t>70,5</w:t>
            </w:r>
          </w:p>
        </w:tc>
        <w:tc>
          <w:tcPr>
            <w:tcW w:w="792" w:type="dxa"/>
            <w:shd w:val="clear" w:color="auto" w:fill="F7F7F7"/>
            <w:tcMar>
              <w:top w:w="60" w:type="dxa"/>
              <w:left w:w="70" w:type="dxa"/>
              <w:bottom w:w="60" w:type="dxa"/>
              <w:right w:w="70" w:type="dxa"/>
            </w:tcMar>
            <w:vAlign w:val="center"/>
          </w:tcPr>
          <w:p w14:paraId="3B812AF8" w14:textId="77777777" w:rsidR="002C59F5" w:rsidRDefault="00000000">
            <w:r>
              <w:t>71,6</w:t>
            </w:r>
          </w:p>
        </w:tc>
        <w:tc>
          <w:tcPr>
            <w:tcW w:w="792" w:type="dxa"/>
            <w:shd w:val="clear" w:color="auto" w:fill="F7F7F7"/>
            <w:tcMar>
              <w:top w:w="60" w:type="dxa"/>
              <w:left w:w="70" w:type="dxa"/>
              <w:bottom w:w="60" w:type="dxa"/>
              <w:right w:w="70" w:type="dxa"/>
            </w:tcMar>
            <w:vAlign w:val="center"/>
          </w:tcPr>
          <w:p w14:paraId="655A3B5E" w14:textId="77777777" w:rsidR="002C59F5" w:rsidRDefault="00000000">
            <w:r>
              <w:t>63,0</w:t>
            </w:r>
          </w:p>
        </w:tc>
        <w:tc>
          <w:tcPr>
            <w:tcW w:w="792" w:type="dxa"/>
            <w:shd w:val="clear" w:color="auto" w:fill="F7F7F7"/>
            <w:tcMar>
              <w:top w:w="60" w:type="dxa"/>
              <w:left w:w="70" w:type="dxa"/>
              <w:bottom w:w="60" w:type="dxa"/>
              <w:right w:w="70" w:type="dxa"/>
            </w:tcMar>
            <w:vAlign w:val="center"/>
          </w:tcPr>
          <w:p w14:paraId="51A465BB" w14:textId="77777777" w:rsidR="002C59F5" w:rsidRDefault="00000000">
            <w:r>
              <w:t>64,3</w:t>
            </w:r>
          </w:p>
        </w:tc>
        <w:tc>
          <w:tcPr>
            <w:tcW w:w="1008" w:type="dxa"/>
            <w:shd w:val="clear" w:color="auto" w:fill="F7F7F7"/>
            <w:tcMar>
              <w:top w:w="60" w:type="dxa"/>
              <w:left w:w="70" w:type="dxa"/>
              <w:bottom w:w="60" w:type="dxa"/>
              <w:right w:w="70" w:type="dxa"/>
            </w:tcMar>
            <w:vAlign w:val="center"/>
          </w:tcPr>
          <w:p w14:paraId="2ADF95F2" w14:textId="77777777" w:rsidR="002C59F5" w:rsidRDefault="00000000">
            <w:r>
              <w:t>+7,9</w:t>
            </w:r>
          </w:p>
        </w:tc>
      </w:tr>
      <w:tr w:rsidR="00843C23" w:rsidRPr="00BA4F7F" w14:paraId="3FC13BE1" w14:textId="77777777">
        <w:trPr>
          <w:cantSplit/>
          <w:jc w:val="center"/>
        </w:trPr>
        <w:tc>
          <w:tcPr>
            <w:tcW w:w="2880" w:type="dxa"/>
            <w:tcMar>
              <w:top w:w="60" w:type="dxa"/>
              <w:left w:w="70" w:type="dxa"/>
              <w:bottom w:w="60" w:type="dxa"/>
              <w:right w:w="70" w:type="dxa"/>
            </w:tcMar>
            <w:vAlign w:val="center"/>
          </w:tcPr>
          <w:p w14:paraId="27F3F0CB" w14:textId="77777777" w:rsidR="002C59F5" w:rsidRDefault="00000000">
            <w:r>
              <w:t>Bezpieczeństwo</w:t>
            </w:r>
          </w:p>
        </w:tc>
        <w:tc>
          <w:tcPr>
            <w:tcW w:w="792" w:type="dxa"/>
            <w:tcMar>
              <w:top w:w="60" w:type="dxa"/>
              <w:left w:w="70" w:type="dxa"/>
              <w:bottom w:w="60" w:type="dxa"/>
              <w:right w:w="70" w:type="dxa"/>
            </w:tcMar>
            <w:vAlign w:val="center"/>
          </w:tcPr>
          <w:p w14:paraId="54695D75" w14:textId="77777777" w:rsidR="002C59F5" w:rsidRDefault="00000000">
            <w:r>
              <w:t>67,5</w:t>
            </w:r>
          </w:p>
        </w:tc>
        <w:tc>
          <w:tcPr>
            <w:tcW w:w="792" w:type="dxa"/>
            <w:tcMar>
              <w:top w:w="60" w:type="dxa"/>
              <w:left w:w="70" w:type="dxa"/>
              <w:bottom w:w="60" w:type="dxa"/>
              <w:right w:w="70" w:type="dxa"/>
            </w:tcMar>
            <w:vAlign w:val="center"/>
          </w:tcPr>
          <w:p w14:paraId="693336CE" w14:textId="77777777" w:rsidR="002C59F5" w:rsidRDefault="00000000">
            <w:r>
              <w:t>71,9</w:t>
            </w:r>
          </w:p>
        </w:tc>
        <w:tc>
          <w:tcPr>
            <w:tcW w:w="792" w:type="dxa"/>
            <w:tcMar>
              <w:top w:w="60" w:type="dxa"/>
              <w:left w:w="70" w:type="dxa"/>
              <w:bottom w:w="60" w:type="dxa"/>
              <w:right w:w="70" w:type="dxa"/>
            </w:tcMar>
            <w:vAlign w:val="center"/>
          </w:tcPr>
          <w:p w14:paraId="6CCA6CDA" w14:textId="77777777" w:rsidR="002C59F5" w:rsidRDefault="00000000">
            <w:r>
              <w:t>71,5</w:t>
            </w:r>
          </w:p>
        </w:tc>
        <w:tc>
          <w:tcPr>
            <w:tcW w:w="792" w:type="dxa"/>
            <w:tcMar>
              <w:top w:w="60" w:type="dxa"/>
              <w:left w:w="70" w:type="dxa"/>
              <w:bottom w:w="60" w:type="dxa"/>
              <w:right w:w="70" w:type="dxa"/>
            </w:tcMar>
            <w:vAlign w:val="center"/>
          </w:tcPr>
          <w:p w14:paraId="2CBED63E" w14:textId="77777777" w:rsidR="002C59F5" w:rsidRDefault="00000000">
            <w:r>
              <w:t>77,2</w:t>
            </w:r>
          </w:p>
        </w:tc>
        <w:tc>
          <w:tcPr>
            <w:tcW w:w="792" w:type="dxa"/>
            <w:tcMar>
              <w:top w:w="60" w:type="dxa"/>
              <w:left w:w="70" w:type="dxa"/>
              <w:bottom w:w="60" w:type="dxa"/>
              <w:right w:w="70" w:type="dxa"/>
            </w:tcMar>
            <w:vAlign w:val="center"/>
          </w:tcPr>
          <w:p w14:paraId="302DC37E" w14:textId="77777777" w:rsidR="002C59F5" w:rsidRDefault="00000000">
            <w:r>
              <w:t>71,2</w:t>
            </w:r>
          </w:p>
        </w:tc>
        <w:tc>
          <w:tcPr>
            <w:tcW w:w="792" w:type="dxa"/>
            <w:tcMar>
              <w:top w:w="60" w:type="dxa"/>
              <w:left w:w="70" w:type="dxa"/>
              <w:bottom w:w="60" w:type="dxa"/>
              <w:right w:w="70" w:type="dxa"/>
            </w:tcMar>
            <w:vAlign w:val="center"/>
          </w:tcPr>
          <w:p w14:paraId="66B190BD" w14:textId="77777777" w:rsidR="002C59F5" w:rsidRDefault="00000000">
            <w:r>
              <w:t>70,9</w:t>
            </w:r>
          </w:p>
        </w:tc>
        <w:tc>
          <w:tcPr>
            <w:tcW w:w="1008" w:type="dxa"/>
            <w:tcMar>
              <w:top w:w="60" w:type="dxa"/>
              <w:left w:w="70" w:type="dxa"/>
              <w:bottom w:w="60" w:type="dxa"/>
              <w:right w:w="70" w:type="dxa"/>
            </w:tcMar>
            <w:vAlign w:val="center"/>
          </w:tcPr>
          <w:p w14:paraId="450A85F1" w14:textId="77777777" w:rsidR="002C59F5" w:rsidRDefault="00000000">
            <w:r>
              <w:t>+3,4</w:t>
            </w:r>
          </w:p>
        </w:tc>
      </w:tr>
      <w:tr w:rsidR="00843C23" w:rsidRPr="00BA4F7F" w14:paraId="4F900A4A" w14:textId="77777777">
        <w:trPr>
          <w:cantSplit/>
          <w:jc w:val="center"/>
        </w:trPr>
        <w:tc>
          <w:tcPr>
            <w:tcW w:w="2880" w:type="dxa"/>
            <w:shd w:val="clear" w:color="auto" w:fill="F7F7F7"/>
            <w:tcMar>
              <w:top w:w="60" w:type="dxa"/>
              <w:left w:w="70" w:type="dxa"/>
              <w:bottom w:w="60" w:type="dxa"/>
              <w:right w:w="70" w:type="dxa"/>
            </w:tcMar>
            <w:vAlign w:val="center"/>
          </w:tcPr>
          <w:p w14:paraId="7322EB98" w14:textId="77777777" w:rsidR="002C59F5" w:rsidRDefault="00000000">
            <w:r>
              <w:t>Demografia</w:t>
            </w:r>
          </w:p>
        </w:tc>
        <w:tc>
          <w:tcPr>
            <w:tcW w:w="792" w:type="dxa"/>
            <w:shd w:val="clear" w:color="auto" w:fill="F7F7F7"/>
            <w:tcMar>
              <w:top w:w="60" w:type="dxa"/>
              <w:left w:w="70" w:type="dxa"/>
              <w:bottom w:w="60" w:type="dxa"/>
              <w:right w:w="70" w:type="dxa"/>
            </w:tcMar>
            <w:vAlign w:val="center"/>
          </w:tcPr>
          <w:p w14:paraId="1DB523A7" w14:textId="77777777" w:rsidR="002C59F5" w:rsidRDefault="00000000">
            <w:r>
              <w:t>54,8</w:t>
            </w:r>
          </w:p>
        </w:tc>
        <w:tc>
          <w:tcPr>
            <w:tcW w:w="792" w:type="dxa"/>
            <w:shd w:val="clear" w:color="auto" w:fill="F7F7F7"/>
            <w:tcMar>
              <w:top w:w="60" w:type="dxa"/>
              <w:left w:w="70" w:type="dxa"/>
              <w:bottom w:w="60" w:type="dxa"/>
              <w:right w:w="70" w:type="dxa"/>
            </w:tcMar>
            <w:vAlign w:val="center"/>
          </w:tcPr>
          <w:p w14:paraId="492573D7" w14:textId="77777777" w:rsidR="002C59F5" w:rsidRDefault="00000000">
            <w:r>
              <w:t>48,4</w:t>
            </w:r>
          </w:p>
        </w:tc>
        <w:tc>
          <w:tcPr>
            <w:tcW w:w="792" w:type="dxa"/>
            <w:shd w:val="clear" w:color="auto" w:fill="F7F7F7"/>
            <w:tcMar>
              <w:top w:w="60" w:type="dxa"/>
              <w:left w:w="70" w:type="dxa"/>
              <w:bottom w:w="60" w:type="dxa"/>
              <w:right w:w="70" w:type="dxa"/>
            </w:tcMar>
            <w:vAlign w:val="center"/>
          </w:tcPr>
          <w:p w14:paraId="3CD9E575" w14:textId="77777777" w:rsidR="002C59F5" w:rsidRDefault="00000000">
            <w:r>
              <w:t>45,5</w:t>
            </w:r>
          </w:p>
        </w:tc>
        <w:tc>
          <w:tcPr>
            <w:tcW w:w="792" w:type="dxa"/>
            <w:shd w:val="clear" w:color="auto" w:fill="F7F7F7"/>
            <w:tcMar>
              <w:top w:w="60" w:type="dxa"/>
              <w:left w:w="70" w:type="dxa"/>
              <w:bottom w:w="60" w:type="dxa"/>
              <w:right w:w="70" w:type="dxa"/>
            </w:tcMar>
            <w:vAlign w:val="center"/>
          </w:tcPr>
          <w:p w14:paraId="0E4497FE" w14:textId="77777777" w:rsidR="002C59F5" w:rsidRDefault="00000000">
            <w:r>
              <w:t>39,9</w:t>
            </w:r>
          </w:p>
        </w:tc>
        <w:tc>
          <w:tcPr>
            <w:tcW w:w="792" w:type="dxa"/>
            <w:shd w:val="clear" w:color="auto" w:fill="F7F7F7"/>
            <w:tcMar>
              <w:top w:w="60" w:type="dxa"/>
              <w:left w:w="70" w:type="dxa"/>
              <w:bottom w:w="60" w:type="dxa"/>
              <w:right w:w="70" w:type="dxa"/>
            </w:tcMar>
            <w:vAlign w:val="center"/>
          </w:tcPr>
          <w:p w14:paraId="7887A09F" w14:textId="77777777" w:rsidR="002C59F5" w:rsidRDefault="00000000">
            <w:r>
              <w:t>32,8</w:t>
            </w:r>
          </w:p>
        </w:tc>
        <w:tc>
          <w:tcPr>
            <w:tcW w:w="792" w:type="dxa"/>
            <w:shd w:val="clear" w:color="auto" w:fill="F7F7F7"/>
            <w:tcMar>
              <w:top w:w="60" w:type="dxa"/>
              <w:left w:w="70" w:type="dxa"/>
              <w:bottom w:w="60" w:type="dxa"/>
              <w:right w:w="70" w:type="dxa"/>
            </w:tcMar>
            <w:vAlign w:val="center"/>
          </w:tcPr>
          <w:p w14:paraId="0629DA31" w14:textId="77777777" w:rsidR="002C59F5" w:rsidRDefault="00000000">
            <w:r>
              <w:t>29,4</w:t>
            </w:r>
          </w:p>
        </w:tc>
        <w:tc>
          <w:tcPr>
            <w:tcW w:w="1008" w:type="dxa"/>
            <w:shd w:val="clear" w:color="auto" w:fill="F7F7F7"/>
            <w:tcMar>
              <w:top w:w="60" w:type="dxa"/>
              <w:left w:w="70" w:type="dxa"/>
              <w:bottom w:w="60" w:type="dxa"/>
              <w:right w:w="70" w:type="dxa"/>
            </w:tcMar>
            <w:vAlign w:val="center"/>
          </w:tcPr>
          <w:p w14:paraId="0EA448F8" w14:textId="77777777" w:rsidR="002C59F5" w:rsidRDefault="00000000">
            <w:r>
              <w:t>−25,4</w:t>
            </w:r>
          </w:p>
        </w:tc>
      </w:tr>
      <w:tr w:rsidR="00843C23" w:rsidRPr="00BA4F7F" w14:paraId="4A9FEEDC" w14:textId="77777777">
        <w:trPr>
          <w:cantSplit/>
          <w:jc w:val="center"/>
        </w:trPr>
        <w:tc>
          <w:tcPr>
            <w:tcW w:w="2880" w:type="dxa"/>
            <w:tcMar>
              <w:top w:w="60" w:type="dxa"/>
              <w:left w:w="70" w:type="dxa"/>
              <w:bottom w:w="60" w:type="dxa"/>
              <w:right w:w="70" w:type="dxa"/>
            </w:tcMar>
            <w:vAlign w:val="center"/>
          </w:tcPr>
          <w:p w14:paraId="63E79B90" w14:textId="77777777" w:rsidR="002C59F5" w:rsidRDefault="00000000">
            <w:r>
              <w:t>Spójność społeczna</w:t>
            </w:r>
          </w:p>
        </w:tc>
        <w:tc>
          <w:tcPr>
            <w:tcW w:w="792" w:type="dxa"/>
            <w:tcMar>
              <w:top w:w="60" w:type="dxa"/>
              <w:left w:w="70" w:type="dxa"/>
              <w:bottom w:w="60" w:type="dxa"/>
              <w:right w:w="70" w:type="dxa"/>
            </w:tcMar>
            <w:vAlign w:val="center"/>
          </w:tcPr>
          <w:p w14:paraId="4747C59E" w14:textId="77777777" w:rsidR="002C59F5" w:rsidRDefault="00000000">
            <w:r>
              <w:t>60,1</w:t>
            </w:r>
          </w:p>
        </w:tc>
        <w:tc>
          <w:tcPr>
            <w:tcW w:w="792" w:type="dxa"/>
            <w:tcMar>
              <w:top w:w="60" w:type="dxa"/>
              <w:left w:w="70" w:type="dxa"/>
              <w:bottom w:w="60" w:type="dxa"/>
              <w:right w:w="70" w:type="dxa"/>
            </w:tcMar>
            <w:vAlign w:val="center"/>
          </w:tcPr>
          <w:p w14:paraId="2775243A" w14:textId="77777777" w:rsidR="002C59F5" w:rsidRDefault="00000000">
            <w:r>
              <w:t>57,4</w:t>
            </w:r>
          </w:p>
        </w:tc>
        <w:tc>
          <w:tcPr>
            <w:tcW w:w="792" w:type="dxa"/>
            <w:tcMar>
              <w:top w:w="60" w:type="dxa"/>
              <w:left w:w="70" w:type="dxa"/>
              <w:bottom w:w="60" w:type="dxa"/>
              <w:right w:w="70" w:type="dxa"/>
            </w:tcMar>
            <w:vAlign w:val="center"/>
          </w:tcPr>
          <w:p w14:paraId="53FB9924" w14:textId="77777777" w:rsidR="002C59F5" w:rsidRDefault="00000000">
            <w:r>
              <w:t>52,5</w:t>
            </w:r>
          </w:p>
        </w:tc>
        <w:tc>
          <w:tcPr>
            <w:tcW w:w="792" w:type="dxa"/>
            <w:tcMar>
              <w:top w:w="60" w:type="dxa"/>
              <w:left w:w="70" w:type="dxa"/>
              <w:bottom w:w="60" w:type="dxa"/>
              <w:right w:w="70" w:type="dxa"/>
            </w:tcMar>
            <w:vAlign w:val="center"/>
          </w:tcPr>
          <w:p w14:paraId="762ECC45" w14:textId="77777777" w:rsidR="002C59F5" w:rsidRDefault="00000000">
            <w:r>
              <w:t>54,4</w:t>
            </w:r>
          </w:p>
        </w:tc>
        <w:tc>
          <w:tcPr>
            <w:tcW w:w="792" w:type="dxa"/>
            <w:tcMar>
              <w:top w:w="60" w:type="dxa"/>
              <w:left w:w="70" w:type="dxa"/>
              <w:bottom w:w="60" w:type="dxa"/>
              <w:right w:w="70" w:type="dxa"/>
            </w:tcMar>
            <w:vAlign w:val="center"/>
          </w:tcPr>
          <w:p w14:paraId="7C5F7D3B" w14:textId="77777777" w:rsidR="002C59F5" w:rsidRDefault="00000000">
            <w:r>
              <w:t>56,6</w:t>
            </w:r>
          </w:p>
        </w:tc>
        <w:tc>
          <w:tcPr>
            <w:tcW w:w="792" w:type="dxa"/>
            <w:tcMar>
              <w:top w:w="60" w:type="dxa"/>
              <w:left w:w="70" w:type="dxa"/>
              <w:bottom w:w="60" w:type="dxa"/>
              <w:right w:w="70" w:type="dxa"/>
            </w:tcMar>
            <w:vAlign w:val="center"/>
          </w:tcPr>
          <w:p w14:paraId="76543E89" w14:textId="77777777" w:rsidR="002C59F5" w:rsidRDefault="00000000">
            <w:r>
              <w:t>57,2</w:t>
            </w:r>
          </w:p>
        </w:tc>
        <w:tc>
          <w:tcPr>
            <w:tcW w:w="1008" w:type="dxa"/>
            <w:tcMar>
              <w:top w:w="60" w:type="dxa"/>
              <w:left w:w="70" w:type="dxa"/>
              <w:bottom w:w="60" w:type="dxa"/>
              <w:right w:w="70" w:type="dxa"/>
            </w:tcMar>
            <w:vAlign w:val="center"/>
          </w:tcPr>
          <w:p w14:paraId="18F00296" w14:textId="77777777" w:rsidR="002C59F5" w:rsidRDefault="00000000">
            <w:r>
              <w:t>−2,9</w:t>
            </w:r>
          </w:p>
        </w:tc>
      </w:tr>
      <w:tr w:rsidR="00843C23" w:rsidRPr="00BA4F7F" w14:paraId="36D10453" w14:textId="77777777">
        <w:trPr>
          <w:cantSplit/>
          <w:jc w:val="center"/>
        </w:trPr>
        <w:tc>
          <w:tcPr>
            <w:tcW w:w="2880" w:type="dxa"/>
            <w:shd w:val="clear" w:color="auto" w:fill="F7F7F7"/>
            <w:tcMar>
              <w:top w:w="60" w:type="dxa"/>
              <w:left w:w="70" w:type="dxa"/>
              <w:bottom w:w="60" w:type="dxa"/>
              <w:right w:w="70" w:type="dxa"/>
            </w:tcMar>
            <w:vAlign w:val="center"/>
          </w:tcPr>
          <w:p w14:paraId="749B5ADD" w14:textId="77777777" w:rsidR="002C59F5" w:rsidRDefault="00000000">
            <w:r>
              <w:t>Projekty strategiczne</w:t>
            </w:r>
          </w:p>
        </w:tc>
        <w:tc>
          <w:tcPr>
            <w:tcW w:w="792" w:type="dxa"/>
            <w:shd w:val="clear" w:color="auto" w:fill="F7F7F7"/>
            <w:tcMar>
              <w:top w:w="60" w:type="dxa"/>
              <w:left w:w="70" w:type="dxa"/>
              <w:bottom w:w="60" w:type="dxa"/>
              <w:right w:w="70" w:type="dxa"/>
            </w:tcMar>
            <w:vAlign w:val="center"/>
          </w:tcPr>
          <w:p w14:paraId="06F9D48A" w14:textId="77777777" w:rsidR="002C59F5" w:rsidRDefault="00000000">
            <w:r>
              <w:t>76,5</w:t>
            </w:r>
          </w:p>
        </w:tc>
        <w:tc>
          <w:tcPr>
            <w:tcW w:w="792" w:type="dxa"/>
            <w:shd w:val="clear" w:color="auto" w:fill="F7F7F7"/>
            <w:tcMar>
              <w:top w:w="60" w:type="dxa"/>
              <w:left w:w="70" w:type="dxa"/>
              <w:bottom w:w="60" w:type="dxa"/>
              <w:right w:w="70" w:type="dxa"/>
            </w:tcMar>
            <w:vAlign w:val="center"/>
          </w:tcPr>
          <w:p w14:paraId="395B562D" w14:textId="77777777" w:rsidR="002C59F5" w:rsidRDefault="00000000">
            <w:r>
              <w:t>75,3</w:t>
            </w:r>
          </w:p>
        </w:tc>
        <w:tc>
          <w:tcPr>
            <w:tcW w:w="792" w:type="dxa"/>
            <w:shd w:val="clear" w:color="auto" w:fill="F7F7F7"/>
            <w:tcMar>
              <w:top w:w="60" w:type="dxa"/>
              <w:left w:w="70" w:type="dxa"/>
              <w:bottom w:w="60" w:type="dxa"/>
              <w:right w:w="70" w:type="dxa"/>
            </w:tcMar>
            <w:vAlign w:val="center"/>
          </w:tcPr>
          <w:p w14:paraId="0005BDFD" w14:textId="77777777" w:rsidR="002C59F5" w:rsidRDefault="00000000">
            <w:r>
              <w:t>77,6</w:t>
            </w:r>
          </w:p>
        </w:tc>
        <w:tc>
          <w:tcPr>
            <w:tcW w:w="792" w:type="dxa"/>
            <w:shd w:val="clear" w:color="auto" w:fill="F7F7F7"/>
            <w:tcMar>
              <w:top w:w="60" w:type="dxa"/>
              <w:left w:w="70" w:type="dxa"/>
              <w:bottom w:w="60" w:type="dxa"/>
              <w:right w:w="70" w:type="dxa"/>
            </w:tcMar>
            <w:vAlign w:val="center"/>
          </w:tcPr>
          <w:p w14:paraId="77564AE1" w14:textId="77777777" w:rsidR="002C59F5" w:rsidRDefault="00000000">
            <w:r>
              <w:t>77,5</w:t>
            </w:r>
          </w:p>
        </w:tc>
        <w:tc>
          <w:tcPr>
            <w:tcW w:w="792" w:type="dxa"/>
            <w:shd w:val="clear" w:color="auto" w:fill="F7F7F7"/>
            <w:tcMar>
              <w:top w:w="60" w:type="dxa"/>
              <w:left w:w="70" w:type="dxa"/>
              <w:bottom w:w="60" w:type="dxa"/>
              <w:right w:w="70" w:type="dxa"/>
            </w:tcMar>
            <w:vAlign w:val="center"/>
          </w:tcPr>
          <w:p w14:paraId="44838DE1" w14:textId="77777777" w:rsidR="002C59F5" w:rsidRDefault="00000000">
            <w:r>
              <w:t>73,0</w:t>
            </w:r>
          </w:p>
        </w:tc>
        <w:tc>
          <w:tcPr>
            <w:tcW w:w="792" w:type="dxa"/>
            <w:shd w:val="clear" w:color="auto" w:fill="F7F7F7"/>
            <w:tcMar>
              <w:top w:w="60" w:type="dxa"/>
              <w:left w:w="70" w:type="dxa"/>
              <w:bottom w:w="60" w:type="dxa"/>
              <w:right w:w="70" w:type="dxa"/>
            </w:tcMar>
            <w:vAlign w:val="center"/>
          </w:tcPr>
          <w:p w14:paraId="05E6C6FC" w14:textId="77777777" w:rsidR="002C59F5" w:rsidRDefault="00000000">
            <w:r>
              <w:t>73,9</w:t>
            </w:r>
          </w:p>
        </w:tc>
        <w:tc>
          <w:tcPr>
            <w:tcW w:w="1008" w:type="dxa"/>
            <w:shd w:val="clear" w:color="auto" w:fill="F7F7F7"/>
            <w:tcMar>
              <w:top w:w="60" w:type="dxa"/>
              <w:left w:w="70" w:type="dxa"/>
              <w:bottom w:w="60" w:type="dxa"/>
              <w:right w:w="70" w:type="dxa"/>
            </w:tcMar>
            <w:vAlign w:val="center"/>
          </w:tcPr>
          <w:p w14:paraId="016C67A6" w14:textId="77777777" w:rsidR="002C59F5" w:rsidRDefault="00000000">
            <w:r>
              <w:t>−2,6</w:t>
            </w:r>
          </w:p>
        </w:tc>
      </w:tr>
      <w:tr w:rsidR="00843C23" w:rsidRPr="00BA4F7F" w14:paraId="53F0F0BF" w14:textId="77777777">
        <w:trPr>
          <w:cantSplit/>
          <w:jc w:val="center"/>
        </w:trPr>
        <w:tc>
          <w:tcPr>
            <w:tcW w:w="2880" w:type="dxa"/>
            <w:tcMar>
              <w:top w:w="60" w:type="dxa"/>
              <w:left w:w="70" w:type="dxa"/>
              <w:bottom w:w="60" w:type="dxa"/>
              <w:right w:w="70" w:type="dxa"/>
            </w:tcMar>
            <w:vAlign w:val="center"/>
          </w:tcPr>
          <w:p w14:paraId="0B9FC6C3" w14:textId="77777777" w:rsidR="002C59F5" w:rsidRDefault="00000000">
            <w:r>
              <w:t>Ład instytucjonalny</w:t>
            </w:r>
          </w:p>
        </w:tc>
        <w:tc>
          <w:tcPr>
            <w:tcW w:w="792" w:type="dxa"/>
            <w:tcMar>
              <w:top w:w="60" w:type="dxa"/>
              <w:left w:w="70" w:type="dxa"/>
              <w:bottom w:w="60" w:type="dxa"/>
              <w:right w:w="70" w:type="dxa"/>
            </w:tcMar>
            <w:vAlign w:val="center"/>
          </w:tcPr>
          <w:p w14:paraId="0B98E748" w14:textId="77777777" w:rsidR="002C59F5" w:rsidRDefault="00000000">
            <w:r>
              <w:t>47,7</w:t>
            </w:r>
          </w:p>
        </w:tc>
        <w:tc>
          <w:tcPr>
            <w:tcW w:w="792" w:type="dxa"/>
            <w:tcMar>
              <w:top w:w="60" w:type="dxa"/>
              <w:left w:w="70" w:type="dxa"/>
              <w:bottom w:w="60" w:type="dxa"/>
              <w:right w:w="70" w:type="dxa"/>
            </w:tcMar>
            <w:vAlign w:val="center"/>
          </w:tcPr>
          <w:p w14:paraId="03ED70BA" w14:textId="77777777" w:rsidR="002C59F5" w:rsidRDefault="00000000">
            <w:r>
              <w:t>41,9</w:t>
            </w:r>
          </w:p>
        </w:tc>
        <w:tc>
          <w:tcPr>
            <w:tcW w:w="792" w:type="dxa"/>
            <w:tcMar>
              <w:top w:w="60" w:type="dxa"/>
              <w:left w:w="70" w:type="dxa"/>
              <w:bottom w:w="60" w:type="dxa"/>
              <w:right w:w="70" w:type="dxa"/>
            </w:tcMar>
            <w:vAlign w:val="center"/>
          </w:tcPr>
          <w:p w14:paraId="470A528E" w14:textId="77777777" w:rsidR="002C59F5" w:rsidRDefault="00000000">
            <w:r>
              <w:t>48,8</w:t>
            </w:r>
          </w:p>
        </w:tc>
        <w:tc>
          <w:tcPr>
            <w:tcW w:w="792" w:type="dxa"/>
            <w:tcMar>
              <w:top w:w="60" w:type="dxa"/>
              <w:left w:w="70" w:type="dxa"/>
              <w:bottom w:w="60" w:type="dxa"/>
              <w:right w:w="70" w:type="dxa"/>
            </w:tcMar>
            <w:vAlign w:val="center"/>
          </w:tcPr>
          <w:p w14:paraId="720DFA42" w14:textId="77777777" w:rsidR="002C59F5" w:rsidRDefault="00000000">
            <w:r>
              <w:t>41,9</w:t>
            </w:r>
          </w:p>
        </w:tc>
        <w:tc>
          <w:tcPr>
            <w:tcW w:w="792" w:type="dxa"/>
            <w:tcMar>
              <w:top w:w="60" w:type="dxa"/>
              <w:left w:w="70" w:type="dxa"/>
              <w:bottom w:w="60" w:type="dxa"/>
              <w:right w:w="70" w:type="dxa"/>
            </w:tcMar>
            <w:vAlign w:val="center"/>
          </w:tcPr>
          <w:p w14:paraId="1D46ACAA" w14:textId="77777777" w:rsidR="002C59F5" w:rsidRDefault="00000000">
            <w:r>
              <w:t>34,4</w:t>
            </w:r>
          </w:p>
        </w:tc>
        <w:tc>
          <w:tcPr>
            <w:tcW w:w="792" w:type="dxa"/>
            <w:tcMar>
              <w:top w:w="60" w:type="dxa"/>
              <w:left w:w="70" w:type="dxa"/>
              <w:bottom w:w="60" w:type="dxa"/>
              <w:right w:w="70" w:type="dxa"/>
            </w:tcMar>
            <w:vAlign w:val="center"/>
          </w:tcPr>
          <w:p w14:paraId="3B5AC4CF" w14:textId="77777777" w:rsidR="002C59F5" w:rsidRDefault="00000000">
            <w:r>
              <w:t>34,7</w:t>
            </w:r>
          </w:p>
        </w:tc>
        <w:tc>
          <w:tcPr>
            <w:tcW w:w="1008" w:type="dxa"/>
            <w:tcMar>
              <w:top w:w="60" w:type="dxa"/>
              <w:left w:w="70" w:type="dxa"/>
              <w:bottom w:w="60" w:type="dxa"/>
              <w:right w:w="70" w:type="dxa"/>
            </w:tcMar>
            <w:vAlign w:val="center"/>
          </w:tcPr>
          <w:p w14:paraId="243D04E1" w14:textId="77777777" w:rsidR="002C59F5" w:rsidRDefault="00000000">
            <w:r>
              <w:t>−13,0</w:t>
            </w:r>
          </w:p>
        </w:tc>
      </w:tr>
    </w:tbl>
    <w:p w14:paraId="5D50B463" w14:textId="77777777" w:rsidR="00843C23" w:rsidRPr="00BA4F7F" w:rsidRDefault="00843C23">
      <w:pPr>
        <w:spacing w:after="20" w:line="259" w:lineRule="auto"/>
      </w:pPr>
    </w:p>
    <w:p w14:paraId="7C253478" w14:textId="77777777" w:rsidR="00843C23" w:rsidRPr="00BA4F7F" w:rsidRDefault="00000000">
      <w:pPr>
        <w:spacing w:line="259" w:lineRule="auto"/>
      </w:pPr>
      <w:r w:rsidRPr="00BA4F7F">
        <w:br w:type="page"/>
      </w:r>
    </w:p>
    <w:p w14:paraId="3A5ADF1F" w14:textId="77777777" w:rsidR="00843C23" w:rsidRPr="00BA4F7F" w:rsidRDefault="00000000">
      <w:pPr>
        <w:pStyle w:val="ChapterKicker"/>
        <w:keepNext/>
        <w:keepLines/>
        <w:pageBreakBefore/>
        <w:rPr>
          <w:lang w:val="pl-PL"/>
        </w:rPr>
      </w:pPr>
      <w:r w:rsidRPr="00BA4F7F">
        <w:rPr>
          <w:lang w:val="pl-PL"/>
        </w:rPr>
        <w:lastRenderedPageBreak/>
        <w:t>ANEKSY</w:t>
      </w:r>
    </w:p>
    <w:p w14:paraId="4B2E8818" w14:textId="77777777" w:rsidR="00843C23" w:rsidRPr="00BA4F7F" w:rsidRDefault="00000000">
      <w:pPr>
        <w:pStyle w:val="Nagwek1"/>
        <w:spacing w:before="0"/>
      </w:pPr>
      <w:bookmarkStart w:id="38" w:name="_Toc236400289"/>
      <w:bookmarkStart w:id="39" w:name="_Toc236400516"/>
      <w:r w:rsidRPr="00BA4F7F">
        <w:t xml:space="preserve">Aneks B. Macierz dwudziestu </w:t>
      </w:r>
      <w:proofErr w:type="spellStart"/>
      <w:r w:rsidRPr="00BA4F7F">
        <w:t>subobszarów</w:t>
      </w:r>
      <w:bookmarkEnd w:id="38"/>
      <w:bookmarkEnd w:id="39"/>
      <w:proofErr w:type="spellEnd"/>
    </w:p>
    <w:p w14:paraId="5327E6C5" w14:textId="77777777" w:rsidR="00843C23" w:rsidRPr="00BA4F7F" w:rsidRDefault="00000000">
      <w:pPr>
        <w:pStyle w:val="Lead"/>
        <w:keepNext/>
        <w:rPr>
          <w:lang w:val="pl-PL"/>
        </w:rPr>
      </w:pPr>
      <w:r w:rsidRPr="00BA4F7F">
        <w:rPr>
          <w:lang w:val="pl-PL"/>
        </w:rPr>
        <w:t>Macierz pozwala odtworzyć strukturę wyniku i kierunki zmian bez redukowania obrazu państwa do jednej średniej.</w:t>
      </w:r>
    </w:p>
    <w:tbl>
      <w:tblPr>
        <w:tblStyle w:val="Tabela-Siatka"/>
        <w:tblW w:w="0" w:type="auto"/>
        <w:jc w:val="center"/>
        <w:tblLayout w:type="fixed"/>
        <w:tblLook w:val="04A0" w:firstRow="1" w:lastRow="0" w:firstColumn="1" w:lastColumn="0" w:noHBand="0" w:noVBand="1"/>
      </w:tblPr>
      <w:tblGrid>
        <w:gridCol w:w="3816"/>
        <w:gridCol w:w="720"/>
        <w:gridCol w:w="720"/>
        <w:gridCol w:w="720"/>
        <w:gridCol w:w="720"/>
        <w:gridCol w:w="720"/>
        <w:gridCol w:w="720"/>
        <w:gridCol w:w="1008"/>
      </w:tblGrid>
      <w:tr w:rsidR="00843C23" w:rsidRPr="00BA4F7F" w14:paraId="6DB12624" w14:textId="77777777">
        <w:trPr>
          <w:cantSplit/>
          <w:trHeight w:val="432"/>
          <w:tblHeader/>
          <w:jc w:val="center"/>
        </w:trPr>
        <w:tc>
          <w:tcPr>
            <w:tcW w:w="3816" w:type="dxa"/>
            <w:shd w:val="clear" w:color="auto" w:fill="1F4E79"/>
            <w:tcMar>
              <w:top w:w="20" w:type="dxa"/>
              <w:left w:w="35" w:type="dxa"/>
              <w:bottom w:w="20" w:type="dxa"/>
              <w:right w:w="35" w:type="dxa"/>
            </w:tcMar>
            <w:vAlign w:val="center"/>
          </w:tcPr>
          <w:p w14:paraId="3CCCFC8B" w14:textId="77777777" w:rsidR="00843C23" w:rsidRPr="00BA4F7F" w:rsidRDefault="00000000">
            <w:pPr>
              <w:spacing w:after="0" w:line="221" w:lineRule="auto"/>
              <w:jc w:val="center"/>
            </w:pPr>
            <w:proofErr w:type="spellStart"/>
            <w:r w:rsidRPr="00BA4F7F">
              <w:rPr>
                <w:b/>
                <w:color w:val="FFFFFF"/>
                <w:sz w:val="14"/>
              </w:rPr>
              <w:t>Subobszar</w:t>
            </w:r>
            <w:proofErr w:type="spellEnd"/>
          </w:p>
        </w:tc>
        <w:tc>
          <w:tcPr>
            <w:tcW w:w="720" w:type="dxa"/>
            <w:shd w:val="clear" w:color="auto" w:fill="1F4E79"/>
            <w:tcMar>
              <w:top w:w="20" w:type="dxa"/>
              <w:left w:w="35" w:type="dxa"/>
              <w:bottom w:w="20" w:type="dxa"/>
              <w:right w:w="35" w:type="dxa"/>
            </w:tcMar>
            <w:vAlign w:val="center"/>
          </w:tcPr>
          <w:p w14:paraId="1F012655" w14:textId="77777777" w:rsidR="00843C23" w:rsidRPr="00BA4F7F" w:rsidRDefault="00000000">
            <w:pPr>
              <w:spacing w:after="0" w:line="221" w:lineRule="auto"/>
              <w:jc w:val="center"/>
            </w:pPr>
            <w:r w:rsidRPr="00BA4F7F">
              <w:rPr>
                <w:b/>
                <w:color w:val="FFFFFF"/>
                <w:sz w:val="14"/>
              </w:rPr>
              <w:t>2020</w:t>
            </w:r>
          </w:p>
        </w:tc>
        <w:tc>
          <w:tcPr>
            <w:tcW w:w="720" w:type="dxa"/>
            <w:shd w:val="clear" w:color="auto" w:fill="1F4E79"/>
            <w:tcMar>
              <w:top w:w="20" w:type="dxa"/>
              <w:left w:w="35" w:type="dxa"/>
              <w:bottom w:w="20" w:type="dxa"/>
              <w:right w:w="35" w:type="dxa"/>
            </w:tcMar>
            <w:vAlign w:val="center"/>
          </w:tcPr>
          <w:p w14:paraId="0A284973" w14:textId="77777777" w:rsidR="00843C23" w:rsidRPr="00BA4F7F" w:rsidRDefault="00000000">
            <w:pPr>
              <w:spacing w:after="0" w:line="221" w:lineRule="auto"/>
              <w:jc w:val="center"/>
            </w:pPr>
            <w:r w:rsidRPr="00BA4F7F">
              <w:rPr>
                <w:b/>
                <w:color w:val="FFFFFF"/>
                <w:sz w:val="14"/>
              </w:rPr>
              <w:t>2021</w:t>
            </w:r>
          </w:p>
        </w:tc>
        <w:tc>
          <w:tcPr>
            <w:tcW w:w="720" w:type="dxa"/>
            <w:shd w:val="clear" w:color="auto" w:fill="1F4E79"/>
            <w:tcMar>
              <w:top w:w="20" w:type="dxa"/>
              <w:left w:w="35" w:type="dxa"/>
              <w:bottom w:w="20" w:type="dxa"/>
              <w:right w:w="35" w:type="dxa"/>
            </w:tcMar>
            <w:vAlign w:val="center"/>
          </w:tcPr>
          <w:p w14:paraId="46966797" w14:textId="77777777" w:rsidR="00843C23" w:rsidRPr="00BA4F7F" w:rsidRDefault="00000000">
            <w:pPr>
              <w:spacing w:after="0" w:line="221" w:lineRule="auto"/>
              <w:jc w:val="center"/>
            </w:pPr>
            <w:r w:rsidRPr="00BA4F7F">
              <w:rPr>
                <w:b/>
                <w:color w:val="FFFFFF"/>
                <w:sz w:val="14"/>
              </w:rPr>
              <w:t>2022</w:t>
            </w:r>
          </w:p>
        </w:tc>
        <w:tc>
          <w:tcPr>
            <w:tcW w:w="720" w:type="dxa"/>
            <w:shd w:val="clear" w:color="auto" w:fill="1F4E79"/>
            <w:tcMar>
              <w:top w:w="20" w:type="dxa"/>
              <w:left w:w="35" w:type="dxa"/>
              <w:bottom w:w="20" w:type="dxa"/>
              <w:right w:w="35" w:type="dxa"/>
            </w:tcMar>
            <w:vAlign w:val="center"/>
          </w:tcPr>
          <w:p w14:paraId="1310E925" w14:textId="77777777" w:rsidR="00843C23" w:rsidRPr="00BA4F7F" w:rsidRDefault="00000000">
            <w:pPr>
              <w:spacing w:after="0" w:line="221" w:lineRule="auto"/>
              <w:jc w:val="center"/>
            </w:pPr>
            <w:r w:rsidRPr="00BA4F7F">
              <w:rPr>
                <w:b/>
                <w:color w:val="FFFFFF"/>
                <w:sz w:val="14"/>
              </w:rPr>
              <w:t>2023</w:t>
            </w:r>
          </w:p>
        </w:tc>
        <w:tc>
          <w:tcPr>
            <w:tcW w:w="720" w:type="dxa"/>
            <w:shd w:val="clear" w:color="auto" w:fill="1F4E79"/>
            <w:tcMar>
              <w:top w:w="20" w:type="dxa"/>
              <w:left w:w="35" w:type="dxa"/>
              <w:bottom w:w="20" w:type="dxa"/>
              <w:right w:w="35" w:type="dxa"/>
            </w:tcMar>
            <w:vAlign w:val="center"/>
          </w:tcPr>
          <w:p w14:paraId="0ACCE964" w14:textId="77777777" w:rsidR="00843C23" w:rsidRPr="00BA4F7F" w:rsidRDefault="00000000">
            <w:pPr>
              <w:spacing w:after="0" w:line="221" w:lineRule="auto"/>
              <w:jc w:val="center"/>
            </w:pPr>
            <w:r w:rsidRPr="00BA4F7F">
              <w:rPr>
                <w:b/>
                <w:color w:val="FFFFFF"/>
                <w:sz w:val="14"/>
              </w:rPr>
              <w:t>2024</w:t>
            </w:r>
          </w:p>
        </w:tc>
        <w:tc>
          <w:tcPr>
            <w:tcW w:w="720" w:type="dxa"/>
            <w:shd w:val="clear" w:color="auto" w:fill="1F4E79"/>
            <w:tcMar>
              <w:top w:w="20" w:type="dxa"/>
              <w:left w:w="35" w:type="dxa"/>
              <w:bottom w:w="20" w:type="dxa"/>
              <w:right w:w="35" w:type="dxa"/>
            </w:tcMar>
            <w:vAlign w:val="center"/>
          </w:tcPr>
          <w:p w14:paraId="72225699" w14:textId="77777777" w:rsidR="00843C23" w:rsidRPr="00BA4F7F" w:rsidRDefault="00000000">
            <w:pPr>
              <w:spacing w:after="0" w:line="221" w:lineRule="auto"/>
              <w:jc w:val="center"/>
            </w:pPr>
            <w:r w:rsidRPr="00BA4F7F">
              <w:rPr>
                <w:b/>
                <w:color w:val="FFFFFF"/>
                <w:sz w:val="14"/>
              </w:rPr>
              <w:t>2025</w:t>
            </w:r>
          </w:p>
        </w:tc>
        <w:tc>
          <w:tcPr>
            <w:tcW w:w="1008" w:type="dxa"/>
            <w:shd w:val="clear" w:color="auto" w:fill="1F4E79"/>
            <w:tcMar>
              <w:top w:w="20" w:type="dxa"/>
              <w:left w:w="35" w:type="dxa"/>
              <w:bottom w:w="20" w:type="dxa"/>
              <w:right w:w="35" w:type="dxa"/>
            </w:tcMar>
            <w:vAlign w:val="center"/>
          </w:tcPr>
          <w:p w14:paraId="2A613168" w14:textId="77777777" w:rsidR="00843C23" w:rsidRPr="00BA4F7F" w:rsidRDefault="00000000">
            <w:pPr>
              <w:spacing w:after="0" w:line="221" w:lineRule="auto"/>
              <w:jc w:val="center"/>
            </w:pPr>
            <w:r w:rsidRPr="00BA4F7F">
              <w:rPr>
                <w:b/>
                <w:color w:val="FFFFFF"/>
                <w:sz w:val="14"/>
              </w:rPr>
              <w:t>Zmiana</w:t>
            </w:r>
          </w:p>
        </w:tc>
      </w:tr>
      <w:tr w:rsidR="00843C23" w:rsidRPr="00BA4F7F" w14:paraId="1AB56EB8" w14:textId="77777777">
        <w:trPr>
          <w:cantSplit/>
          <w:trHeight w:val="410"/>
          <w:jc w:val="center"/>
        </w:trPr>
        <w:tc>
          <w:tcPr>
            <w:tcW w:w="3816" w:type="dxa"/>
            <w:tcMar>
              <w:top w:w="20" w:type="dxa"/>
              <w:left w:w="35" w:type="dxa"/>
              <w:bottom w:w="20" w:type="dxa"/>
              <w:right w:w="35" w:type="dxa"/>
            </w:tcMar>
            <w:vAlign w:val="center"/>
          </w:tcPr>
          <w:p w14:paraId="4011183B" w14:textId="77777777" w:rsidR="00843C23" w:rsidRPr="00BA4F7F" w:rsidRDefault="00000000">
            <w:pPr>
              <w:spacing w:after="0" w:line="221" w:lineRule="auto"/>
              <w:jc w:val="left"/>
            </w:pPr>
            <w:r w:rsidRPr="00BA4F7F">
              <w:rPr>
                <w:b/>
                <w:sz w:val="13"/>
              </w:rPr>
              <w:t>Finanse publiczne</w:t>
            </w:r>
          </w:p>
        </w:tc>
        <w:tc>
          <w:tcPr>
            <w:tcW w:w="720" w:type="dxa"/>
            <w:tcMar>
              <w:top w:w="20" w:type="dxa"/>
              <w:left w:w="35" w:type="dxa"/>
              <w:bottom w:w="20" w:type="dxa"/>
              <w:right w:w="35" w:type="dxa"/>
            </w:tcMar>
            <w:vAlign w:val="center"/>
          </w:tcPr>
          <w:p w14:paraId="6ADB71AA" w14:textId="77777777" w:rsidR="00843C23" w:rsidRPr="00BA4F7F" w:rsidRDefault="00000000">
            <w:pPr>
              <w:spacing w:after="0" w:line="221" w:lineRule="auto"/>
              <w:jc w:val="center"/>
            </w:pPr>
            <w:r w:rsidRPr="00BA4F7F">
              <w:rPr>
                <w:sz w:val="13"/>
              </w:rPr>
              <w:t>58,1</w:t>
            </w:r>
          </w:p>
        </w:tc>
        <w:tc>
          <w:tcPr>
            <w:tcW w:w="720" w:type="dxa"/>
            <w:tcMar>
              <w:top w:w="20" w:type="dxa"/>
              <w:left w:w="35" w:type="dxa"/>
              <w:bottom w:w="20" w:type="dxa"/>
              <w:right w:w="35" w:type="dxa"/>
            </w:tcMar>
            <w:vAlign w:val="center"/>
          </w:tcPr>
          <w:p w14:paraId="7FA4659D" w14:textId="77777777" w:rsidR="00843C23" w:rsidRPr="00BA4F7F" w:rsidRDefault="00000000">
            <w:pPr>
              <w:spacing w:after="0" w:line="221" w:lineRule="auto"/>
              <w:jc w:val="center"/>
            </w:pPr>
            <w:r w:rsidRPr="00BA4F7F">
              <w:rPr>
                <w:sz w:val="13"/>
              </w:rPr>
              <w:t>78,9</w:t>
            </w:r>
          </w:p>
        </w:tc>
        <w:tc>
          <w:tcPr>
            <w:tcW w:w="720" w:type="dxa"/>
            <w:tcMar>
              <w:top w:w="20" w:type="dxa"/>
              <w:left w:w="35" w:type="dxa"/>
              <w:bottom w:w="20" w:type="dxa"/>
              <w:right w:w="35" w:type="dxa"/>
            </w:tcMar>
            <w:vAlign w:val="center"/>
          </w:tcPr>
          <w:p w14:paraId="60DB36BD" w14:textId="77777777" w:rsidR="00843C23" w:rsidRPr="00BA4F7F" w:rsidRDefault="00000000">
            <w:pPr>
              <w:spacing w:after="0" w:line="221" w:lineRule="auto"/>
              <w:jc w:val="center"/>
            </w:pPr>
            <w:r w:rsidRPr="00BA4F7F">
              <w:rPr>
                <w:sz w:val="13"/>
              </w:rPr>
              <w:t>73,8</w:t>
            </w:r>
          </w:p>
        </w:tc>
        <w:tc>
          <w:tcPr>
            <w:tcW w:w="720" w:type="dxa"/>
            <w:tcMar>
              <w:top w:w="20" w:type="dxa"/>
              <w:left w:w="35" w:type="dxa"/>
              <w:bottom w:w="20" w:type="dxa"/>
              <w:right w:w="35" w:type="dxa"/>
            </w:tcMar>
            <w:vAlign w:val="center"/>
          </w:tcPr>
          <w:p w14:paraId="54CFD07E" w14:textId="77777777" w:rsidR="00843C23" w:rsidRPr="00BA4F7F" w:rsidRDefault="00000000">
            <w:pPr>
              <w:spacing w:after="0" w:line="221" w:lineRule="auto"/>
              <w:jc w:val="center"/>
            </w:pPr>
            <w:r w:rsidRPr="00BA4F7F">
              <w:rPr>
                <w:sz w:val="13"/>
              </w:rPr>
              <w:t>62,9</w:t>
            </w:r>
          </w:p>
        </w:tc>
        <w:tc>
          <w:tcPr>
            <w:tcW w:w="720" w:type="dxa"/>
            <w:tcMar>
              <w:top w:w="20" w:type="dxa"/>
              <w:left w:w="35" w:type="dxa"/>
              <w:bottom w:w="20" w:type="dxa"/>
              <w:right w:w="35" w:type="dxa"/>
            </w:tcMar>
            <w:vAlign w:val="center"/>
          </w:tcPr>
          <w:p w14:paraId="437E57D3" w14:textId="77777777" w:rsidR="00843C23" w:rsidRPr="00BA4F7F" w:rsidRDefault="00000000">
            <w:pPr>
              <w:spacing w:after="0" w:line="221" w:lineRule="auto"/>
              <w:jc w:val="center"/>
            </w:pPr>
            <w:r w:rsidRPr="00BA4F7F">
              <w:rPr>
                <w:sz w:val="13"/>
              </w:rPr>
              <w:t>57,2</w:t>
            </w:r>
          </w:p>
        </w:tc>
        <w:tc>
          <w:tcPr>
            <w:tcW w:w="720" w:type="dxa"/>
            <w:tcMar>
              <w:top w:w="20" w:type="dxa"/>
              <w:left w:w="35" w:type="dxa"/>
              <w:bottom w:w="20" w:type="dxa"/>
              <w:right w:w="35" w:type="dxa"/>
            </w:tcMar>
            <w:vAlign w:val="center"/>
          </w:tcPr>
          <w:p w14:paraId="60FC22A0" w14:textId="77777777" w:rsidR="00843C23" w:rsidRPr="00BA4F7F" w:rsidRDefault="00000000">
            <w:pPr>
              <w:spacing w:after="0" w:line="221" w:lineRule="auto"/>
              <w:jc w:val="center"/>
            </w:pPr>
            <w:r w:rsidRPr="00BA4F7F">
              <w:rPr>
                <w:sz w:val="13"/>
              </w:rPr>
              <w:t>51,7</w:t>
            </w:r>
          </w:p>
        </w:tc>
        <w:tc>
          <w:tcPr>
            <w:tcW w:w="1008" w:type="dxa"/>
            <w:tcMar>
              <w:top w:w="20" w:type="dxa"/>
              <w:left w:w="35" w:type="dxa"/>
              <w:bottom w:w="20" w:type="dxa"/>
              <w:right w:w="35" w:type="dxa"/>
            </w:tcMar>
            <w:vAlign w:val="center"/>
          </w:tcPr>
          <w:p w14:paraId="43C94052" w14:textId="77777777" w:rsidR="002C59F5" w:rsidRDefault="00000000">
            <w:r>
              <w:t>−6,3</w:t>
            </w:r>
          </w:p>
        </w:tc>
      </w:tr>
      <w:tr w:rsidR="00843C23" w:rsidRPr="00BA4F7F" w14:paraId="0094C8A8" w14:textId="77777777">
        <w:trPr>
          <w:cantSplit/>
          <w:trHeight w:val="410"/>
          <w:jc w:val="center"/>
        </w:trPr>
        <w:tc>
          <w:tcPr>
            <w:tcW w:w="3816" w:type="dxa"/>
            <w:shd w:val="clear" w:color="auto" w:fill="F7F7F7"/>
            <w:tcMar>
              <w:top w:w="20" w:type="dxa"/>
              <w:left w:w="35" w:type="dxa"/>
              <w:bottom w:w="20" w:type="dxa"/>
              <w:right w:w="35" w:type="dxa"/>
            </w:tcMar>
            <w:vAlign w:val="center"/>
          </w:tcPr>
          <w:p w14:paraId="3D655605" w14:textId="77777777" w:rsidR="00843C23" w:rsidRPr="00BA4F7F" w:rsidRDefault="00000000">
            <w:pPr>
              <w:spacing w:after="0" w:line="221" w:lineRule="auto"/>
              <w:jc w:val="left"/>
            </w:pPr>
            <w:r w:rsidRPr="00BA4F7F">
              <w:rPr>
                <w:b/>
                <w:sz w:val="13"/>
              </w:rPr>
              <w:t>Równowaga zewnętrzna</w:t>
            </w:r>
          </w:p>
        </w:tc>
        <w:tc>
          <w:tcPr>
            <w:tcW w:w="720" w:type="dxa"/>
            <w:shd w:val="clear" w:color="auto" w:fill="F7F7F7"/>
            <w:tcMar>
              <w:top w:w="20" w:type="dxa"/>
              <w:left w:w="35" w:type="dxa"/>
              <w:bottom w:w="20" w:type="dxa"/>
              <w:right w:w="35" w:type="dxa"/>
            </w:tcMar>
            <w:vAlign w:val="center"/>
          </w:tcPr>
          <w:p w14:paraId="73A1DB19" w14:textId="77777777" w:rsidR="00843C23" w:rsidRPr="00BA4F7F" w:rsidRDefault="00000000">
            <w:pPr>
              <w:spacing w:after="0" w:line="221" w:lineRule="auto"/>
              <w:jc w:val="center"/>
            </w:pPr>
            <w:r w:rsidRPr="00BA4F7F">
              <w:rPr>
                <w:sz w:val="13"/>
              </w:rPr>
              <w:t>78,9</w:t>
            </w:r>
          </w:p>
        </w:tc>
        <w:tc>
          <w:tcPr>
            <w:tcW w:w="720" w:type="dxa"/>
            <w:shd w:val="clear" w:color="auto" w:fill="F7F7F7"/>
            <w:tcMar>
              <w:top w:w="20" w:type="dxa"/>
              <w:left w:w="35" w:type="dxa"/>
              <w:bottom w:w="20" w:type="dxa"/>
              <w:right w:w="35" w:type="dxa"/>
            </w:tcMar>
            <w:vAlign w:val="center"/>
          </w:tcPr>
          <w:p w14:paraId="235F53C2" w14:textId="77777777" w:rsidR="00843C23" w:rsidRPr="00BA4F7F" w:rsidRDefault="00000000">
            <w:pPr>
              <w:spacing w:after="0" w:line="221" w:lineRule="auto"/>
              <w:jc w:val="center"/>
            </w:pPr>
            <w:r w:rsidRPr="00BA4F7F">
              <w:rPr>
                <w:sz w:val="13"/>
              </w:rPr>
              <w:t>72,7</w:t>
            </w:r>
          </w:p>
        </w:tc>
        <w:tc>
          <w:tcPr>
            <w:tcW w:w="720" w:type="dxa"/>
            <w:shd w:val="clear" w:color="auto" w:fill="F7F7F7"/>
            <w:tcMar>
              <w:top w:w="20" w:type="dxa"/>
              <w:left w:w="35" w:type="dxa"/>
              <w:bottom w:w="20" w:type="dxa"/>
              <w:right w:w="35" w:type="dxa"/>
            </w:tcMar>
            <w:vAlign w:val="center"/>
          </w:tcPr>
          <w:p w14:paraId="1B1CEEC1" w14:textId="77777777" w:rsidR="00843C23" w:rsidRPr="00BA4F7F" w:rsidRDefault="00000000">
            <w:pPr>
              <w:spacing w:after="0" w:line="221" w:lineRule="auto"/>
              <w:jc w:val="center"/>
            </w:pPr>
            <w:r w:rsidRPr="00BA4F7F">
              <w:rPr>
                <w:sz w:val="13"/>
              </w:rPr>
              <w:t>73,5</w:t>
            </w:r>
          </w:p>
        </w:tc>
        <w:tc>
          <w:tcPr>
            <w:tcW w:w="720" w:type="dxa"/>
            <w:shd w:val="clear" w:color="auto" w:fill="F7F7F7"/>
            <w:tcMar>
              <w:top w:w="20" w:type="dxa"/>
              <w:left w:w="35" w:type="dxa"/>
              <w:bottom w:w="20" w:type="dxa"/>
              <w:right w:w="35" w:type="dxa"/>
            </w:tcMar>
            <w:vAlign w:val="center"/>
          </w:tcPr>
          <w:p w14:paraId="40001B35" w14:textId="77777777" w:rsidR="00843C23" w:rsidRPr="00BA4F7F" w:rsidRDefault="00000000">
            <w:pPr>
              <w:spacing w:after="0" w:line="221" w:lineRule="auto"/>
              <w:jc w:val="center"/>
            </w:pPr>
            <w:r w:rsidRPr="00BA4F7F">
              <w:rPr>
                <w:sz w:val="13"/>
              </w:rPr>
              <w:t>85,3</w:t>
            </w:r>
          </w:p>
        </w:tc>
        <w:tc>
          <w:tcPr>
            <w:tcW w:w="720" w:type="dxa"/>
            <w:shd w:val="clear" w:color="auto" w:fill="F7F7F7"/>
            <w:tcMar>
              <w:top w:w="20" w:type="dxa"/>
              <w:left w:w="35" w:type="dxa"/>
              <w:bottom w:w="20" w:type="dxa"/>
              <w:right w:w="35" w:type="dxa"/>
            </w:tcMar>
            <w:vAlign w:val="center"/>
          </w:tcPr>
          <w:p w14:paraId="5F20A9D4" w14:textId="77777777" w:rsidR="00843C23" w:rsidRPr="00BA4F7F" w:rsidRDefault="00000000">
            <w:pPr>
              <w:spacing w:after="0" w:line="221" w:lineRule="auto"/>
              <w:jc w:val="center"/>
            </w:pPr>
            <w:r w:rsidRPr="00BA4F7F">
              <w:rPr>
                <w:sz w:val="13"/>
              </w:rPr>
              <w:t>84,3</w:t>
            </w:r>
          </w:p>
        </w:tc>
        <w:tc>
          <w:tcPr>
            <w:tcW w:w="720" w:type="dxa"/>
            <w:shd w:val="clear" w:color="auto" w:fill="F7F7F7"/>
            <w:tcMar>
              <w:top w:w="20" w:type="dxa"/>
              <w:left w:w="35" w:type="dxa"/>
              <w:bottom w:w="20" w:type="dxa"/>
              <w:right w:w="35" w:type="dxa"/>
            </w:tcMar>
            <w:vAlign w:val="center"/>
          </w:tcPr>
          <w:p w14:paraId="0320013C" w14:textId="77777777" w:rsidR="00843C23" w:rsidRPr="00BA4F7F" w:rsidRDefault="00000000">
            <w:pPr>
              <w:spacing w:after="0" w:line="221" w:lineRule="auto"/>
              <w:jc w:val="center"/>
            </w:pPr>
            <w:r w:rsidRPr="00BA4F7F">
              <w:rPr>
                <w:sz w:val="13"/>
              </w:rPr>
              <w:t>80,9</w:t>
            </w:r>
          </w:p>
        </w:tc>
        <w:tc>
          <w:tcPr>
            <w:tcW w:w="1008" w:type="dxa"/>
            <w:shd w:val="clear" w:color="auto" w:fill="F7F7F7"/>
            <w:tcMar>
              <w:top w:w="20" w:type="dxa"/>
              <w:left w:w="35" w:type="dxa"/>
              <w:bottom w:w="20" w:type="dxa"/>
              <w:right w:w="35" w:type="dxa"/>
            </w:tcMar>
            <w:vAlign w:val="center"/>
          </w:tcPr>
          <w:p w14:paraId="7DDC1EC1" w14:textId="77777777" w:rsidR="00843C23" w:rsidRPr="00BA4F7F" w:rsidRDefault="00000000">
            <w:pPr>
              <w:spacing w:after="0" w:line="221" w:lineRule="auto"/>
              <w:jc w:val="center"/>
            </w:pPr>
            <w:r w:rsidRPr="00BA4F7F">
              <w:rPr>
                <w:sz w:val="13"/>
              </w:rPr>
              <w:t>+2,0</w:t>
            </w:r>
          </w:p>
        </w:tc>
      </w:tr>
      <w:tr w:rsidR="00843C23" w:rsidRPr="00BA4F7F" w14:paraId="704D6642" w14:textId="77777777">
        <w:trPr>
          <w:cantSplit/>
          <w:trHeight w:val="410"/>
          <w:jc w:val="center"/>
        </w:trPr>
        <w:tc>
          <w:tcPr>
            <w:tcW w:w="3816" w:type="dxa"/>
            <w:tcMar>
              <w:top w:w="20" w:type="dxa"/>
              <w:left w:w="35" w:type="dxa"/>
              <w:bottom w:w="20" w:type="dxa"/>
              <w:right w:w="35" w:type="dxa"/>
            </w:tcMar>
            <w:vAlign w:val="center"/>
          </w:tcPr>
          <w:p w14:paraId="66E286DB" w14:textId="77777777" w:rsidR="00843C23" w:rsidRPr="00BA4F7F" w:rsidRDefault="00000000">
            <w:pPr>
              <w:spacing w:after="0" w:line="221" w:lineRule="auto"/>
              <w:jc w:val="left"/>
            </w:pPr>
            <w:r w:rsidRPr="00BA4F7F">
              <w:rPr>
                <w:b/>
                <w:sz w:val="13"/>
              </w:rPr>
              <w:t>Inwestycje</w:t>
            </w:r>
          </w:p>
        </w:tc>
        <w:tc>
          <w:tcPr>
            <w:tcW w:w="720" w:type="dxa"/>
            <w:tcMar>
              <w:top w:w="20" w:type="dxa"/>
              <w:left w:w="35" w:type="dxa"/>
              <w:bottom w:w="20" w:type="dxa"/>
              <w:right w:w="35" w:type="dxa"/>
            </w:tcMar>
            <w:vAlign w:val="center"/>
          </w:tcPr>
          <w:p w14:paraId="1B5C77BF" w14:textId="77777777" w:rsidR="00843C23" w:rsidRPr="00BA4F7F" w:rsidRDefault="00000000">
            <w:pPr>
              <w:spacing w:after="0" w:line="221" w:lineRule="auto"/>
              <w:jc w:val="center"/>
            </w:pPr>
            <w:r w:rsidRPr="00BA4F7F">
              <w:rPr>
                <w:sz w:val="13"/>
              </w:rPr>
              <w:t>39,1</w:t>
            </w:r>
          </w:p>
        </w:tc>
        <w:tc>
          <w:tcPr>
            <w:tcW w:w="720" w:type="dxa"/>
            <w:tcMar>
              <w:top w:w="20" w:type="dxa"/>
              <w:left w:w="35" w:type="dxa"/>
              <w:bottom w:w="20" w:type="dxa"/>
              <w:right w:w="35" w:type="dxa"/>
            </w:tcMar>
            <w:vAlign w:val="center"/>
          </w:tcPr>
          <w:p w14:paraId="456AA6D0" w14:textId="77777777" w:rsidR="00843C23" w:rsidRPr="00BA4F7F" w:rsidRDefault="00000000">
            <w:pPr>
              <w:spacing w:after="0" w:line="221" w:lineRule="auto"/>
              <w:jc w:val="center"/>
            </w:pPr>
            <w:r w:rsidRPr="00BA4F7F">
              <w:rPr>
                <w:sz w:val="13"/>
              </w:rPr>
              <w:t>57,1</w:t>
            </w:r>
          </w:p>
        </w:tc>
        <w:tc>
          <w:tcPr>
            <w:tcW w:w="720" w:type="dxa"/>
            <w:tcMar>
              <w:top w:w="20" w:type="dxa"/>
              <w:left w:w="35" w:type="dxa"/>
              <w:bottom w:w="20" w:type="dxa"/>
              <w:right w:w="35" w:type="dxa"/>
            </w:tcMar>
            <w:vAlign w:val="center"/>
          </w:tcPr>
          <w:p w14:paraId="278E5DE5" w14:textId="77777777" w:rsidR="00843C23" w:rsidRPr="00BA4F7F" w:rsidRDefault="00000000">
            <w:pPr>
              <w:spacing w:after="0" w:line="221" w:lineRule="auto"/>
              <w:jc w:val="center"/>
            </w:pPr>
            <w:r w:rsidRPr="00BA4F7F">
              <w:rPr>
                <w:sz w:val="13"/>
              </w:rPr>
              <w:t>53,5</w:t>
            </w:r>
          </w:p>
        </w:tc>
        <w:tc>
          <w:tcPr>
            <w:tcW w:w="720" w:type="dxa"/>
            <w:tcMar>
              <w:top w:w="20" w:type="dxa"/>
              <w:left w:w="35" w:type="dxa"/>
              <w:bottom w:w="20" w:type="dxa"/>
              <w:right w:w="35" w:type="dxa"/>
            </w:tcMar>
            <w:vAlign w:val="center"/>
          </w:tcPr>
          <w:p w14:paraId="1BB4D5FD" w14:textId="77777777" w:rsidR="00843C23" w:rsidRPr="00BA4F7F" w:rsidRDefault="00000000">
            <w:pPr>
              <w:spacing w:after="0" w:line="221" w:lineRule="auto"/>
              <w:jc w:val="center"/>
            </w:pPr>
            <w:r w:rsidRPr="00BA4F7F">
              <w:rPr>
                <w:sz w:val="13"/>
              </w:rPr>
              <w:t>58,6</w:t>
            </w:r>
          </w:p>
        </w:tc>
        <w:tc>
          <w:tcPr>
            <w:tcW w:w="720" w:type="dxa"/>
            <w:tcMar>
              <w:top w:w="20" w:type="dxa"/>
              <w:left w:w="35" w:type="dxa"/>
              <w:bottom w:w="20" w:type="dxa"/>
              <w:right w:w="35" w:type="dxa"/>
            </w:tcMar>
            <w:vAlign w:val="center"/>
          </w:tcPr>
          <w:p w14:paraId="0381FC71" w14:textId="77777777" w:rsidR="00843C23" w:rsidRPr="00BA4F7F" w:rsidRDefault="00000000">
            <w:pPr>
              <w:spacing w:after="0" w:line="221" w:lineRule="auto"/>
              <w:jc w:val="center"/>
            </w:pPr>
            <w:r w:rsidRPr="00BA4F7F">
              <w:rPr>
                <w:sz w:val="13"/>
              </w:rPr>
              <w:t>35,2</w:t>
            </w:r>
          </w:p>
        </w:tc>
        <w:tc>
          <w:tcPr>
            <w:tcW w:w="720" w:type="dxa"/>
            <w:tcMar>
              <w:top w:w="20" w:type="dxa"/>
              <w:left w:w="35" w:type="dxa"/>
              <w:bottom w:w="20" w:type="dxa"/>
              <w:right w:w="35" w:type="dxa"/>
            </w:tcMar>
            <w:vAlign w:val="center"/>
          </w:tcPr>
          <w:p w14:paraId="2CBE3100" w14:textId="77777777" w:rsidR="00843C23" w:rsidRPr="00BA4F7F" w:rsidRDefault="00000000">
            <w:pPr>
              <w:spacing w:after="0" w:line="221" w:lineRule="auto"/>
              <w:jc w:val="center"/>
            </w:pPr>
            <w:r w:rsidRPr="00BA4F7F">
              <w:rPr>
                <w:sz w:val="13"/>
              </w:rPr>
              <w:t>50,0</w:t>
            </w:r>
          </w:p>
        </w:tc>
        <w:tc>
          <w:tcPr>
            <w:tcW w:w="1008" w:type="dxa"/>
            <w:tcMar>
              <w:top w:w="20" w:type="dxa"/>
              <w:left w:w="35" w:type="dxa"/>
              <w:bottom w:w="20" w:type="dxa"/>
              <w:right w:w="35" w:type="dxa"/>
            </w:tcMar>
            <w:vAlign w:val="center"/>
          </w:tcPr>
          <w:p w14:paraId="176A9E73" w14:textId="77777777" w:rsidR="00843C23" w:rsidRPr="00BA4F7F" w:rsidRDefault="00000000">
            <w:pPr>
              <w:spacing w:after="0" w:line="221" w:lineRule="auto"/>
              <w:jc w:val="center"/>
            </w:pPr>
            <w:r w:rsidRPr="00BA4F7F">
              <w:rPr>
                <w:sz w:val="13"/>
              </w:rPr>
              <w:t>+10,9</w:t>
            </w:r>
          </w:p>
        </w:tc>
      </w:tr>
      <w:tr w:rsidR="00843C23" w:rsidRPr="00BA4F7F" w14:paraId="19008A42" w14:textId="77777777">
        <w:trPr>
          <w:cantSplit/>
          <w:trHeight w:val="410"/>
          <w:jc w:val="center"/>
        </w:trPr>
        <w:tc>
          <w:tcPr>
            <w:tcW w:w="3816" w:type="dxa"/>
            <w:shd w:val="clear" w:color="auto" w:fill="F7F7F7"/>
            <w:tcMar>
              <w:top w:w="20" w:type="dxa"/>
              <w:left w:w="35" w:type="dxa"/>
              <w:bottom w:w="20" w:type="dxa"/>
              <w:right w:w="35" w:type="dxa"/>
            </w:tcMar>
            <w:vAlign w:val="center"/>
          </w:tcPr>
          <w:p w14:paraId="6458F2ED" w14:textId="77777777" w:rsidR="00843C23" w:rsidRPr="00BA4F7F" w:rsidRDefault="00000000">
            <w:pPr>
              <w:spacing w:after="0" w:line="221" w:lineRule="auto"/>
              <w:jc w:val="left"/>
            </w:pPr>
            <w:r w:rsidRPr="00BA4F7F">
              <w:rPr>
                <w:b/>
                <w:sz w:val="13"/>
              </w:rPr>
              <w:t>Rynek pracy</w:t>
            </w:r>
          </w:p>
        </w:tc>
        <w:tc>
          <w:tcPr>
            <w:tcW w:w="720" w:type="dxa"/>
            <w:shd w:val="clear" w:color="auto" w:fill="F7F7F7"/>
            <w:tcMar>
              <w:top w:w="20" w:type="dxa"/>
              <w:left w:w="35" w:type="dxa"/>
              <w:bottom w:w="20" w:type="dxa"/>
              <w:right w:w="35" w:type="dxa"/>
            </w:tcMar>
            <w:vAlign w:val="center"/>
          </w:tcPr>
          <w:p w14:paraId="436C5F2A" w14:textId="77777777" w:rsidR="00843C23" w:rsidRPr="00BA4F7F" w:rsidRDefault="00000000">
            <w:pPr>
              <w:spacing w:after="0" w:line="221" w:lineRule="auto"/>
              <w:jc w:val="center"/>
            </w:pPr>
            <w:r w:rsidRPr="00BA4F7F">
              <w:rPr>
                <w:sz w:val="13"/>
              </w:rPr>
              <w:t>57,2</w:t>
            </w:r>
          </w:p>
        </w:tc>
        <w:tc>
          <w:tcPr>
            <w:tcW w:w="720" w:type="dxa"/>
            <w:shd w:val="clear" w:color="auto" w:fill="F7F7F7"/>
            <w:tcMar>
              <w:top w:w="20" w:type="dxa"/>
              <w:left w:w="35" w:type="dxa"/>
              <w:bottom w:w="20" w:type="dxa"/>
              <w:right w:w="35" w:type="dxa"/>
            </w:tcMar>
            <w:vAlign w:val="center"/>
          </w:tcPr>
          <w:p w14:paraId="2F8BABC5" w14:textId="77777777" w:rsidR="00843C23" w:rsidRPr="00BA4F7F" w:rsidRDefault="00000000">
            <w:pPr>
              <w:spacing w:after="0" w:line="221" w:lineRule="auto"/>
              <w:jc w:val="center"/>
            </w:pPr>
            <w:r w:rsidRPr="00BA4F7F">
              <w:rPr>
                <w:sz w:val="13"/>
              </w:rPr>
              <w:t>85,5</w:t>
            </w:r>
          </w:p>
        </w:tc>
        <w:tc>
          <w:tcPr>
            <w:tcW w:w="720" w:type="dxa"/>
            <w:shd w:val="clear" w:color="auto" w:fill="F7F7F7"/>
            <w:tcMar>
              <w:top w:w="20" w:type="dxa"/>
              <w:left w:w="35" w:type="dxa"/>
              <w:bottom w:w="20" w:type="dxa"/>
              <w:right w:w="35" w:type="dxa"/>
            </w:tcMar>
            <w:vAlign w:val="center"/>
          </w:tcPr>
          <w:p w14:paraId="1C49726B" w14:textId="77777777" w:rsidR="00843C23" w:rsidRPr="00BA4F7F" w:rsidRDefault="00000000">
            <w:pPr>
              <w:spacing w:after="0" w:line="221" w:lineRule="auto"/>
              <w:jc w:val="center"/>
            </w:pPr>
            <w:r w:rsidRPr="00BA4F7F">
              <w:rPr>
                <w:sz w:val="13"/>
              </w:rPr>
              <w:t>88,0</w:t>
            </w:r>
          </w:p>
        </w:tc>
        <w:tc>
          <w:tcPr>
            <w:tcW w:w="720" w:type="dxa"/>
            <w:shd w:val="clear" w:color="auto" w:fill="F7F7F7"/>
            <w:tcMar>
              <w:top w:w="20" w:type="dxa"/>
              <w:left w:w="35" w:type="dxa"/>
              <w:bottom w:w="20" w:type="dxa"/>
              <w:right w:w="35" w:type="dxa"/>
            </w:tcMar>
            <w:vAlign w:val="center"/>
          </w:tcPr>
          <w:p w14:paraId="48B74225" w14:textId="77777777" w:rsidR="00843C23" w:rsidRPr="00BA4F7F" w:rsidRDefault="00000000">
            <w:pPr>
              <w:spacing w:after="0" w:line="221" w:lineRule="auto"/>
              <w:jc w:val="center"/>
            </w:pPr>
            <w:r w:rsidRPr="00BA4F7F">
              <w:rPr>
                <w:sz w:val="13"/>
              </w:rPr>
              <w:t>90,4</w:t>
            </w:r>
          </w:p>
        </w:tc>
        <w:tc>
          <w:tcPr>
            <w:tcW w:w="720" w:type="dxa"/>
            <w:shd w:val="clear" w:color="auto" w:fill="F7F7F7"/>
            <w:tcMar>
              <w:top w:w="20" w:type="dxa"/>
              <w:left w:w="35" w:type="dxa"/>
              <w:bottom w:w="20" w:type="dxa"/>
              <w:right w:w="35" w:type="dxa"/>
            </w:tcMar>
            <w:vAlign w:val="center"/>
          </w:tcPr>
          <w:p w14:paraId="39716606" w14:textId="77777777" w:rsidR="00843C23" w:rsidRPr="00BA4F7F" w:rsidRDefault="00000000">
            <w:pPr>
              <w:spacing w:after="0" w:line="221" w:lineRule="auto"/>
              <w:jc w:val="center"/>
            </w:pPr>
            <w:r w:rsidRPr="00BA4F7F">
              <w:rPr>
                <w:sz w:val="13"/>
              </w:rPr>
              <w:t>91,9</w:t>
            </w:r>
          </w:p>
        </w:tc>
        <w:tc>
          <w:tcPr>
            <w:tcW w:w="720" w:type="dxa"/>
            <w:shd w:val="clear" w:color="auto" w:fill="F7F7F7"/>
            <w:tcMar>
              <w:top w:w="20" w:type="dxa"/>
              <w:left w:w="35" w:type="dxa"/>
              <w:bottom w:w="20" w:type="dxa"/>
              <w:right w:w="35" w:type="dxa"/>
            </w:tcMar>
            <w:vAlign w:val="center"/>
          </w:tcPr>
          <w:p w14:paraId="4E63D330" w14:textId="77777777" w:rsidR="00843C23" w:rsidRPr="00BA4F7F" w:rsidRDefault="00000000">
            <w:pPr>
              <w:spacing w:after="0" w:line="221" w:lineRule="auto"/>
              <w:jc w:val="center"/>
            </w:pPr>
            <w:r w:rsidRPr="00BA4F7F">
              <w:rPr>
                <w:sz w:val="13"/>
              </w:rPr>
              <w:t>88,0</w:t>
            </w:r>
          </w:p>
        </w:tc>
        <w:tc>
          <w:tcPr>
            <w:tcW w:w="1008" w:type="dxa"/>
            <w:shd w:val="clear" w:color="auto" w:fill="F7F7F7"/>
            <w:tcMar>
              <w:top w:w="20" w:type="dxa"/>
              <w:left w:w="35" w:type="dxa"/>
              <w:bottom w:w="20" w:type="dxa"/>
              <w:right w:w="35" w:type="dxa"/>
            </w:tcMar>
            <w:vAlign w:val="center"/>
          </w:tcPr>
          <w:p w14:paraId="66A9BE90" w14:textId="77777777" w:rsidR="00843C23" w:rsidRPr="00BA4F7F" w:rsidRDefault="00000000">
            <w:pPr>
              <w:spacing w:after="0" w:line="221" w:lineRule="auto"/>
              <w:jc w:val="center"/>
            </w:pPr>
            <w:r w:rsidRPr="00BA4F7F">
              <w:rPr>
                <w:sz w:val="13"/>
              </w:rPr>
              <w:t>+30,9</w:t>
            </w:r>
          </w:p>
        </w:tc>
      </w:tr>
      <w:tr w:rsidR="00843C23" w:rsidRPr="00BA4F7F" w14:paraId="4483D3F7" w14:textId="77777777">
        <w:trPr>
          <w:cantSplit/>
          <w:trHeight w:val="410"/>
          <w:jc w:val="center"/>
        </w:trPr>
        <w:tc>
          <w:tcPr>
            <w:tcW w:w="3816" w:type="dxa"/>
            <w:tcMar>
              <w:top w:w="20" w:type="dxa"/>
              <w:left w:w="35" w:type="dxa"/>
              <w:bottom w:w="20" w:type="dxa"/>
              <w:right w:w="35" w:type="dxa"/>
            </w:tcMar>
            <w:vAlign w:val="center"/>
          </w:tcPr>
          <w:p w14:paraId="44C4C7B0" w14:textId="77777777" w:rsidR="00843C23" w:rsidRPr="00BA4F7F" w:rsidRDefault="00000000">
            <w:pPr>
              <w:spacing w:after="0" w:line="221" w:lineRule="auto"/>
              <w:jc w:val="left"/>
            </w:pPr>
            <w:r w:rsidRPr="00BA4F7F">
              <w:rPr>
                <w:b/>
                <w:sz w:val="13"/>
              </w:rPr>
              <w:t>Zdolności obronne państwa</w:t>
            </w:r>
          </w:p>
        </w:tc>
        <w:tc>
          <w:tcPr>
            <w:tcW w:w="720" w:type="dxa"/>
            <w:tcMar>
              <w:top w:w="20" w:type="dxa"/>
              <w:left w:w="35" w:type="dxa"/>
              <w:bottom w:w="20" w:type="dxa"/>
              <w:right w:w="35" w:type="dxa"/>
            </w:tcMar>
            <w:vAlign w:val="center"/>
          </w:tcPr>
          <w:p w14:paraId="4C2D903D" w14:textId="77777777" w:rsidR="00843C23" w:rsidRPr="00BA4F7F" w:rsidRDefault="00000000">
            <w:pPr>
              <w:spacing w:after="0" w:line="221" w:lineRule="auto"/>
              <w:jc w:val="center"/>
            </w:pPr>
            <w:r w:rsidRPr="00BA4F7F">
              <w:rPr>
                <w:sz w:val="13"/>
              </w:rPr>
              <w:t>65,4</w:t>
            </w:r>
          </w:p>
        </w:tc>
        <w:tc>
          <w:tcPr>
            <w:tcW w:w="720" w:type="dxa"/>
            <w:tcMar>
              <w:top w:w="20" w:type="dxa"/>
              <w:left w:w="35" w:type="dxa"/>
              <w:bottom w:w="20" w:type="dxa"/>
              <w:right w:w="35" w:type="dxa"/>
            </w:tcMar>
            <w:vAlign w:val="center"/>
          </w:tcPr>
          <w:p w14:paraId="0B03642E" w14:textId="77777777" w:rsidR="00843C23" w:rsidRPr="00BA4F7F" w:rsidRDefault="00000000">
            <w:pPr>
              <w:spacing w:after="0" w:line="221" w:lineRule="auto"/>
              <w:jc w:val="center"/>
            </w:pPr>
            <w:r w:rsidRPr="00BA4F7F">
              <w:rPr>
                <w:sz w:val="13"/>
              </w:rPr>
              <w:t>72,7</w:t>
            </w:r>
          </w:p>
        </w:tc>
        <w:tc>
          <w:tcPr>
            <w:tcW w:w="720" w:type="dxa"/>
            <w:tcMar>
              <w:top w:w="20" w:type="dxa"/>
              <w:left w:w="35" w:type="dxa"/>
              <w:bottom w:w="20" w:type="dxa"/>
              <w:right w:w="35" w:type="dxa"/>
            </w:tcMar>
            <w:vAlign w:val="center"/>
          </w:tcPr>
          <w:p w14:paraId="1C270165" w14:textId="77777777" w:rsidR="00843C23" w:rsidRPr="00BA4F7F" w:rsidRDefault="00000000">
            <w:pPr>
              <w:spacing w:after="0" w:line="221" w:lineRule="auto"/>
              <w:jc w:val="center"/>
            </w:pPr>
            <w:r w:rsidRPr="00BA4F7F">
              <w:rPr>
                <w:sz w:val="13"/>
              </w:rPr>
              <w:t>61,7</w:t>
            </w:r>
          </w:p>
        </w:tc>
        <w:tc>
          <w:tcPr>
            <w:tcW w:w="720" w:type="dxa"/>
            <w:tcMar>
              <w:top w:w="20" w:type="dxa"/>
              <w:left w:w="35" w:type="dxa"/>
              <w:bottom w:w="20" w:type="dxa"/>
              <w:right w:w="35" w:type="dxa"/>
            </w:tcMar>
            <w:vAlign w:val="center"/>
          </w:tcPr>
          <w:p w14:paraId="1F6D3A83" w14:textId="77777777" w:rsidR="00843C23" w:rsidRPr="00BA4F7F" w:rsidRDefault="00000000">
            <w:pPr>
              <w:spacing w:after="0" w:line="221" w:lineRule="auto"/>
              <w:jc w:val="center"/>
            </w:pPr>
            <w:r w:rsidRPr="00BA4F7F">
              <w:rPr>
                <w:sz w:val="13"/>
              </w:rPr>
              <w:t>77,8</w:t>
            </w:r>
          </w:p>
        </w:tc>
        <w:tc>
          <w:tcPr>
            <w:tcW w:w="720" w:type="dxa"/>
            <w:tcMar>
              <w:top w:w="20" w:type="dxa"/>
              <w:left w:w="35" w:type="dxa"/>
              <w:bottom w:w="20" w:type="dxa"/>
              <w:right w:w="35" w:type="dxa"/>
            </w:tcMar>
            <w:vAlign w:val="center"/>
          </w:tcPr>
          <w:p w14:paraId="3C6A7D9F" w14:textId="77777777" w:rsidR="00843C23" w:rsidRPr="00BA4F7F" w:rsidRDefault="00000000">
            <w:pPr>
              <w:spacing w:after="0" w:line="221" w:lineRule="auto"/>
              <w:jc w:val="center"/>
            </w:pPr>
            <w:r w:rsidRPr="00BA4F7F">
              <w:rPr>
                <w:sz w:val="13"/>
              </w:rPr>
              <w:t>80,7</w:t>
            </w:r>
          </w:p>
        </w:tc>
        <w:tc>
          <w:tcPr>
            <w:tcW w:w="720" w:type="dxa"/>
            <w:tcMar>
              <w:top w:w="20" w:type="dxa"/>
              <w:left w:w="35" w:type="dxa"/>
              <w:bottom w:w="20" w:type="dxa"/>
              <w:right w:w="35" w:type="dxa"/>
            </w:tcMar>
            <w:vAlign w:val="center"/>
          </w:tcPr>
          <w:p w14:paraId="5C6201EB" w14:textId="77777777" w:rsidR="00843C23" w:rsidRPr="00BA4F7F" w:rsidRDefault="00000000">
            <w:pPr>
              <w:spacing w:after="0" w:line="221" w:lineRule="auto"/>
              <w:jc w:val="center"/>
            </w:pPr>
            <w:r w:rsidRPr="00BA4F7F">
              <w:rPr>
                <w:sz w:val="13"/>
              </w:rPr>
              <w:t>86,8</w:t>
            </w:r>
          </w:p>
        </w:tc>
        <w:tc>
          <w:tcPr>
            <w:tcW w:w="1008" w:type="dxa"/>
            <w:tcMar>
              <w:top w:w="20" w:type="dxa"/>
              <w:left w:w="35" w:type="dxa"/>
              <w:bottom w:w="20" w:type="dxa"/>
              <w:right w:w="35" w:type="dxa"/>
            </w:tcMar>
            <w:vAlign w:val="center"/>
          </w:tcPr>
          <w:p w14:paraId="36F08750" w14:textId="77777777" w:rsidR="00843C23" w:rsidRPr="00BA4F7F" w:rsidRDefault="00000000">
            <w:pPr>
              <w:spacing w:after="0" w:line="221" w:lineRule="auto"/>
              <w:jc w:val="center"/>
            </w:pPr>
            <w:r w:rsidRPr="00BA4F7F">
              <w:rPr>
                <w:sz w:val="13"/>
              </w:rPr>
              <w:t>+21,4</w:t>
            </w:r>
          </w:p>
        </w:tc>
      </w:tr>
      <w:tr w:rsidR="00843C23" w:rsidRPr="00BA4F7F" w14:paraId="04EBBFDC" w14:textId="77777777">
        <w:trPr>
          <w:cantSplit/>
          <w:trHeight w:val="410"/>
          <w:jc w:val="center"/>
        </w:trPr>
        <w:tc>
          <w:tcPr>
            <w:tcW w:w="3816" w:type="dxa"/>
            <w:shd w:val="clear" w:color="auto" w:fill="F7F7F7"/>
            <w:tcMar>
              <w:top w:w="20" w:type="dxa"/>
              <w:left w:w="35" w:type="dxa"/>
              <w:bottom w:w="20" w:type="dxa"/>
              <w:right w:w="35" w:type="dxa"/>
            </w:tcMar>
            <w:vAlign w:val="center"/>
          </w:tcPr>
          <w:p w14:paraId="106784A6" w14:textId="77777777" w:rsidR="00843C23" w:rsidRPr="00BA4F7F" w:rsidRDefault="00000000">
            <w:pPr>
              <w:spacing w:after="0" w:line="221" w:lineRule="auto"/>
              <w:jc w:val="left"/>
            </w:pPr>
            <w:r w:rsidRPr="00BA4F7F">
              <w:rPr>
                <w:b/>
                <w:sz w:val="13"/>
              </w:rPr>
              <w:t>Odporność cywilna i ochrona ludności</w:t>
            </w:r>
          </w:p>
        </w:tc>
        <w:tc>
          <w:tcPr>
            <w:tcW w:w="720" w:type="dxa"/>
            <w:shd w:val="clear" w:color="auto" w:fill="F7F7F7"/>
            <w:tcMar>
              <w:top w:w="20" w:type="dxa"/>
              <w:left w:w="35" w:type="dxa"/>
              <w:bottom w:w="20" w:type="dxa"/>
              <w:right w:w="35" w:type="dxa"/>
            </w:tcMar>
            <w:vAlign w:val="center"/>
          </w:tcPr>
          <w:p w14:paraId="6E588694" w14:textId="77777777" w:rsidR="00843C23" w:rsidRPr="00BA4F7F" w:rsidRDefault="00000000">
            <w:pPr>
              <w:spacing w:after="0" w:line="221" w:lineRule="auto"/>
              <w:jc w:val="center"/>
            </w:pPr>
            <w:r w:rsidRPr="00BA4F7F">
              <w:rPr>
                <w:sz w:val="13"/>
              </w:rPr>
              <w:t>56,6</w:t>
            </w:r>
          </w:p>
        </w:tc>
        <w:tc>
          <w:tcPr>
            <w:tcW w:w="720" w:type="dxa"/>
            <w:shd w:val="clear" w:color="auto" w:fill="F7F7F7"/>
            <w:tcMar>
              <w:top w:w="20" w:type="dxa"/>
              <w:left w:w="35" w:type="dxa"/>
              <w:bottom w:w="20" w:type="dxa"/>
              <w:right w:w="35" w:type="dxa"/>
            </w:tcMar>
            <w:vAlign w:val="center"/>
          </w:tcPr>
          <w:p w14:paraId="552FD765" w14:textId="77777777" w:rsidR="00843C23" w:rsidRPr="00BA4F7F" w:rsidRDefault="00000000">
            <w:pPr>
              <w:spacing w:after="0" w:line="221" w:lineRule="auto"/>
              <w:jc w:val="center"/>
            </w:pPr>
            <w:r w:rsidRPr="00BA4F7F">
              <w:rPr>
                <w:sz w:val="13"/>
              </w:rPr>
              <w:t>58,4</w:t>
            </w:r>
          </w:p>
        </w:tc>
        <w:tc>
          <w:tcPr>
            <w:tcW w:w="720" w:type="dxa"/>
            <w:shd w:val="clear" w:color="auto" w:fill="F7F7F7"/>
            <w:tcMar>
              <w:top w:w="20" w:type="dxa"/>
              <w:left w:w="35" w:type="dxa"/>
              <w:bottom w:w="20" w:type="dxa"/>
              <w:right w:w="35" w:type="dxa"/>
            </w:tcMar>
            <w:vAlign w:val="center"/>
          </w:tcPr>
          <w:p w14:paraId="276732CE" w14:textId="77777777" w:rsidR="00843C23" w:rsidRPr="00BA4F7F" w:rsidRDefault="00000000">
            <w:pPr>
              <w:spacing w:after="0" w:line="221" w:lineRule="auto"/>
              <w:jc w:val="center"/>
            </w:pPr>
            <w:r w:rsidRPr="00BA4F7F">
              <w:rPr>
                <w:sz w:val="13"/>
              </w:rPr>
              <w:t>60,1</w:t>
            </w:r>
          </w:p>
        </w:tc>
        <w:tc>
          <w:tcPr>
            <w:tcW w:w="720" w:type="dxa"/>
            <w:shd w:val="clear" w:color="auto" w:fill="F7F7F7"/>
            <w:tcMar>
              <w:top w:w="20" w:type="dxa"/>
              <w:left w:w="35" w:type="dxa"/>
              <w:bottom w:w="20" w:type="dxa"/>
              <w:right w:w="35" w:type="dxa"/>
            </w:tcMar>
            <w:vAlign w:val="center"/>
          </w:tcPr>
          <w:p w14:paraId="3D14DF01" w14:textId="77777777" w:rsidR="00843C23" w:rsidRPr="00BA4F7F" w:rsidRDefault="00000000">
            <w:pPr>
              <w:spacing w:after="0" w:line="221" w:lineRule="auto"/>
              <w:jc w:val="center"/>
            </w:pPr>
            <w:r w:rsidRPr="00BA4F7F">
              <w:rPr>
                <w:sz w:val="13"/>
              </w:rPr>
              <w:t>62,6</w:t>
            </w:r>
          </w:p>
        </w:tc>
        <w:tc>
          <w:tcPr>
            <w:tcW w:w="720" w:type="dxa"/>
            <w:shd w:val="clear" w:color="auto" w:fill="F7F7F7"/>
            <w:tcMar>
              <w:top w:w="20" w:type="dxa"/>
              <w:left w:w="35" w:type="dxa"/>
              <w:bottom w:w="20" w:type="dxa"/>
              <w:right w:w="35" w:type="dxa"/>
            </w:tcMar>
            <w:vAlign w:val="center"/>
          </w:tcPr>
          <w:p w14:paraId="64BBFEDB" w14:textId="77777777" w:rsidR="00843C23" w:rsidRPr="00BA4F7F" w:rsidRDefault="00000000">
            <w:pPr>
              <w:spacing w:after="0" w:line="221" w:lineRule="auto"/>
              <w:jc w:val="center"/>
            </w:pPr>
            <w:r w:rsidRPr="00BA4F7F">
              <w:rPr>
                <w:sz w:val="13"/>
              </w:rPr>
              <w:t>65,6</w:t>
            </w:r>
          </w:p>
        </w:tc>
        <w:tc>
          <w:tcPr>
            <w:tcW w:w="720" w:type="dxa"/>
            <w:shd w:val="clear" w:color="auto" w:fill="F7F7F7"/>
            <w:tcMar>
              <w:top w:w="20" w:type="dxa"/>
              <w:left w:w="35" w:type="dxa"/>
              <w:bottom w:w="20" w:type="dxa"/>
              <w:right w:w="35" w:type="dxa"/>
            </w:tcMar>
            <w:vAlign w:val="center"/>
          </w:tcPr>
          <w:p w14:paraId="1B2CFB11" w14:textId="77777777" w:rsidR="00843C23" w:rsidRPr="00BA4F7F" w:rsidRDefault="00000000">
            <w:pPr>
              <w:spacing w:after="0" w:line="221" w:lineRule="auto"/>
              <w:jc w:val="center"/>
            </w:pPr>
            <w:r w:rsidRPr="00BA4F7F">
              <w:rPr>
                <w:sz w:val="13"/>
              </w:rPr>
              <w:t>63,4</w:t>
            </w:r>
          </w:p>
        </w:tc>
        <w:tc>
          <w:tcPr>
            <w:tcW w:w="1008" w:type="dxa"/>
            <w:shd w:val="clear" w:color="auto" w:fill="F7F7F7"/>
            <w:tcMar>
              <w:top w:w="20" w:type="dxa"/>
              <w:left w:w="35" w:type="dxa"/>
              <w:bottom w:w="20" w:type="dxa"/>
              <w:right w:w="35" w:type="dxa"/>
            </w:tcMar>
            <w:vAlign w:val="center"/>
          </w:tcPr>
          <w:p w14:paraId="27A8770C" w14:textId="77777777" w:rsidR="00843C23" w:rsidRPr="00BA4F7F" w:rsidRDefault="00000000">
            <w:pPr>
              <w:spacing w:after="0" w:line="221" w:lineRule="auto"/>
              <w:jc w:val="center"/>
            </w:pPr>
            <w:r w:rsidRPr="00BA4F7F">
              <w:rPr>
                <w:sz w:val="13"/>
              </w:rPr>
              <w:t>+6,8</w:t>
            </w:r>
          </w:p>
        </w:tc>
      </w:tr>
      <w:tr w:rsidR="00843C23" w:rsidRPr="00BA4F7F" w14:paraId="49A4B1A1" w14:textId="77777777">
        <w:trPr>
          <w:cantSplit/>
          <w:trHeight w:val="410"/>
          <w:jc w:val="center"/>
        </w:trPr>
        <w:tc>
          <w:tcPr>
            <w:tcW w:w="3816" w:type="dxa"/>
            <w:tcMar>
              <w:top w:w="20" w:type="dxa"/>
              <w:left w:w="35" w:type="dxa"/>
              <w:bottom w:w="20" w:type="dxa"/>
              <w:right w:w="35" w:type="dxa"/>
            </w:tcMar>
            <w:vAlign w:val="center"/>
          </w:tcPr>
          <w:p w14:paraId="632C0CBF" w14:textId="77777777" w:rsidR="00843C23" w:rsidRPr="00BA4F7F" w:rsidRDefault="00000000">
            <w:pPr>
              <w:spacing w:after="0" w:line="221" w:lineRule="auto"/>
              <w:jc w:val="left"/>
            </w:pPr>
            <w:r w:rsidRPr="00BA4F7F">
              <w:rPr>
                <w:b/>
                <w:sz w:val="13"/>
              </w:rPr>
              <w:t>Bezpieczeństwo publiczne</w:t>
            </w:r>
          </w:p>
        </w:tc>
        <w:tc>
          <w:tcPr>
            <w:tcW w:w="720" w:type="dxa"/>
            <w:tcMar>
              <w:top w:w="20" w:type="dxa"/>
              <w:left w:w="35" w:type="dxa"/>
              <w:bottom w:w="20" w:type="dxa"/>
              <w:right w:w="35" w:type="dxa"/>
            </w:tcMar>
            <w:vAlign w:val="center"/>
          </w:tcPr>
          <w:p w14:paraId="2BF1F393" w14:textId="77777777" w:rsidR="00843C23" w:rsidRPr="00BA4F7F" w:rsidRDefault="00000000">
            <w:pPr>
              <w:spacing w:after="0" w:line="221" w:lineRule="auto"/>
              <w:jc w:val="center"/>
            </w:pPr>
            <w:r w:rsidRPr="00BA4F7F">
              <w:rPr>
                <w:sz w:val="13"/>
              </w:rPr>
              <w:t>77,3</w:t>
            </w:r>
          </w:p>
        </w:tc>
        <w:tc>
          <w:tcPr>
            <w:tcW w:w="720" w:type="dxa"/>
            <w:tcMar>
              <w:top w:w="20" w:type="dxa"/>
              <w:left w:w="35" w:type="dxa"/>
              <w:bottom w:w="20" w:type="dxa"/>
              <w:right w:w="35" w:type="dxa"/>
            </w:tcMar>
            <w:vAlign w:val="center"/>
          </w:tcPr>
          <w:p w14:paraId="7C1A0F5D" w14:textId="77777777" w:rsidR="00843C23" w:rsidRPr="00BA4F7F" w:rsidRDefault="00000000">
            <w:pPr>
              <w:spacing w:after="0" w:line="221" w:lineRule="auto"/>
              <w:jc w:val="center"/>
            </w:pPr>
            <w:r w:rsidRPr="00BA4F7F">
              <w:rPr>
                <w:sz w:val="13"/>
              </w:rPr>
              <w:t>81,3</w:t>
            </w:r>
          </w:p>
        </w:tc>
        <w:tc>
          <w:tcPr>
            <w:tcW w:w="720" w:type="dxa"/>
            <w:tcMar>
              <w:top w:w="20" w:type="dxa"/>
              <w:left w:w="35" w:type="dxa"/>
              <w:bottom w:w="20" w:type="dxa"/>
              <w:right w:w="35" w:type="dxa"/>
            </w:tcMar>
            <w:vAlign w:val="center"/>
          </w:tcPr>
          <w:p w14:paraId="0ECC4F23" w14:textId="77777777" w:rsidR="00843C23" w:rsidRPr="00BA4F7F" w:rsidRDefault="00000000">
            <w:pPr>
              <w:spacing w:after="0" w:line="221" w:lineRule="auto"/>
              <w:jc w:val="center"/>
            </w:pPr>
            <w:r w:rsidRPr="00BA4F7F">
              <w:rPr>
                <w:sz w:val="13"/>
              </w:rPr>
              <w:t>87,5</w:t>
            </w:r>
          </w:p>
        </w:tc>
        <w:tc>
          <w:tcPr>
            <w:tcW w:w="720" w:type="dxa"/>
            <w:tcMar>
              <w:top w:w="20" w:type="dxa"/>
              <w:left w:w="35" w:type="dxa"/>
              <w:bottom w:w="20" w:type="dxa"/>
              <w:right w:w="35" w:type="dxa"/>
            </w:tcMar>
            <w:vAlign w:val="center"/>
          </w:tcPr>
          <w:p w14:paraId="4F049801" w14:textId="77777777" w:rsidR="00843C23" w:rsidRPr="00BA4F7F" w:rsidRDefault="00000000">
            <w:pPr>
              <w:spacing w:after="0" w:line="221" w:lineRule="auto"/>
              <w:jc w:val="center"/>
            </w:pPr>
            <w:r w:rsidRPr="00BA4F7F">
              <w:rPr>
                <w:sz w:val="13"/>
              </w:rPr>
              <w:t>87,7</w:t>
            </w:r>
          </w:p>
        </w:tc>
        <w:tc>
          <w:tcPr>
            <w:tcW w:w="720" w:type="dxa"/>
            <w:tcMar>
              <w:top w:w="20" w:type="dxa"/>
              <w:left w:w="35" w:type="dxa"/>
              <w:bottom w:w="20" w:type="dxa"/>
              <w:right w:w="35" w:type="dxa"/>
            </w:tcMar>
            <w:vAlign w:val="center"/>
          </w:tcPr>
          <w:p w14:paraId="7E48313B" w14:textId="77777777" w:rsidR="00843C23" w:rsidRPr="00BA4F7F" w:rsidRDefault="00000000">
            <w:pPr>
              <w:spacing w:after="0" w:line="221" w:lineRule="auto"/>
              <w:jc w:val="center"/>
            </w:pPr>
            <w:r>
              <w:rPr>
                <w:sz w:val="13"/>
              </w:rPr>
              <w:t>68,2</w:t>
            </w:r>
          </w:p>
        </w:tc>
        <w:tc>
          <w:tcPr>
            <w:tcW w:w="720" w:type="dxa"/>
            <w:tcMar>
              <w:top w:w="20" w:type="dxa"/>
              <w:left w:w="35" w:type="dxa"/>
              <w:bottom w:w="20" w:type="dxa"/>
              <w:right w:w="35" w:type="dxa"/>
            </w:tcMar>
            <w:vAlign w:val="center"/>
          </w:tcPr>
          <w:p w14:paraId="3295A097" w14:textId="77777777" w:rsidR="00843C23" w:rsidRPr="00BA4F7F" w:rsidRDefault="00000000">
            <w:pPr>
              <w:spacing w:after="0" w:line="221" w:lineRule="auto"/>
              <w:jc w:val="center"/>
            </w:pPr>
            <w:r>
              <w:rPr>
                <w:sz w:val="13"/>
              </w:rPr>
              <w:t>64,5</w:t>
            </w:r>
          </w:p>
        </w:tc>
        <w:tc>
          <w:tcPr>
            <w:tcW w:w="1008" w:type="dxa"/>
            <w:tcMar>
              <w:top w:w="20" w:type="dxa"/>
              <w:left w:w="35" w:type="dxa"/>
              <w:bottom w:w="20" w:type="dxa"/>
              <w:right w:w="35" w:type="dxa"/>
            </w:tcMar>
            <w:vAlign w:val="center"/>
          </w:tcPr>
          <w:p w14:paraId="313E99F2" w14:textId="77777777" w:rsidR="002C59F5" w:rsidRDefault="00000000">
            <w:r>
              <w:t>−12,8</w:t>
            </w:r>
          </w:p>
        </w:tc>
      </w:tr>
      <w:tr w:rsidR="00843C23" w:rsidRPr="00BA4F7F" w14:paraId="543C7CB0" w14:textId="77777777">
        <w:trPr>
          <w:cantSplit/>
          <w:trHeight w:val="410"/>
          <w:jc w:val="center"/>
        </w:trPr>
        <w:tc>
          <w:tcPr>
            <w:tcW w:w="3816" w:type="dxa"/>
            <w:shd w:val="clear" w:color="auto" w:fill="F7F7F7"/>
            <w:tcMar>
              <w:top w:w="20" w:type="dxa"/>
              <w:left w:w="35" w:type="dxa"/>
              <w:bottom w:w="20" w:type="dxa"/>
              <w:right w:w="35" w:type="dxa"/>
            </w:tcMar>
            <w:vAlign w:val="center"/>
          </w:tcPr>
          <w:p w14:paraId="4E3F49B9" w14:textId="77777777" w:rsidR="00843C23" w:rsidRPr="00BA4F7F" w:rsidRDefault="00000000">
            <w:pPr>
              <w:spacing w:after="0" w:line="221" w:lineRule="auto"/>
              <w:jc w:val="left"/>
            </w:pPr>
            <w:r w:rsidRPr="00BA4F7F">
              <w:rPr>
                <w:b/>
                <w:sz w:val="13"/>
              </w:rPr>
              <w:t>Stan i struktura ludności</w:t>
            </w:r>
          </w:p>
        </w:tc>
        <w:tc>
          <w:tcPr>
            <w:tcW w:w="720" w:type="dxa"/>
            <w:shd w:val="clear" w:color="auto" w:fill="F7F7F7"/>
            <w:tcMar>
              <w:top w:w="20" w:type="dxa"/>
              <w:left w:w="35" w:type="dxa"/>
              <w:bottom w:w="20" w:type="dxa"/>
              <w:right w:w="35" w:type="dxa"/>
            </w:tcMar>
            <w:vAlign w:val="center"/>
          </w:tcPr>
          <w:p w14:paraId="6CFC2F0C" w14:textId="77777777" w:rsidR="00843C23" w:rsidRPr="00BA4F7F" w:rsidRDefault="00000000">
            <w:pPr>
              <w:spacing w:after="0" w:line="221" w:lineRule="auto"/>
              <w:jc w:val="center"/>
            </w:pPr>
            <w:r w:rsidRPr="00BA4F7F">
              <w:rPr>
                <w:sz w:val="13"/>
              </w:rPr>
              <w:t>61,3</w:t>
            </w:r>
          </w:p>
        </w:tc>
        <w:tc>
          <w:tcPr>
            <w:tcW w:w="720" w:type="dxa"/>
            <w:shd w:val="clear" w:color="auto" w:fill="F7F7F7"/>
            <w:tcMar>
              <w:top w:w="20" w:type="dxa"/>
              <w:left w:w="35" w:type="dxa"/>
              <w:bottom w:w="20" w:type="dxa"/>
              <w:right w:w="35" w:type="dxa"/>
            </w:tcMar>
            <w:vAlign w:val="center"/>
          </w:tcPr>
          <w:p w14:paraId="21A5CE55" w14:textId="77777777" w:rsidR="00843C23" w:rsidRPr="00BA4F7F" w:rsidRDefault="00000000">
            <w:pPr>
              <w:spacing w:after="0" w:line="221" w:lineRule="auto"/>
              <w:jc w:val="center"/>
            </w:pPr>
            <w:r w:rsidRPr="00BA4F7F">
              <w:rPr>
                <w:sz w:val="13"/>
              </w:rPr>
              <w:t>53,0</w:t>
            </w:r>
          </w:p>
        </w:tc>
        <w:tc>
          <w:tcPr>
            <w:tcW w:w="720" w:type="dxa"/>
            <w:shd w:val="clear" w:color="auto" w:fill="F7F7F7"/>
            <w:tcMar>
              <w:top w:w="20" w:type="dxa"/>
              <w:left w:w="35" w:type="dxa"/>
              <w:bottom w:w="20" w:type="dxa"/>
              <w:right w:w="35" w:type="dxa"/>
            </w:tcMar>
            <w:vAlign w:val="center"/>
          </w:tcPr>
          <w:p w14:paraId="70E946CD" w14:textId="77777777" w:rsidR="00843C23" w:rsidRPr="00BA4F7F" w:rsidRDefault="00000000">
            <w:pPr>
              <w:spacing w:after="0" w:line="221" w:lineRule="auto"/>
              <w:jc w:val="center"/>
            </w:pPr>
            <w:r w:rsidRPr="00BA4F7F">
              <w:rPr>
                <w:sz w:val="13"/>
              </w:rPr>
              <w:t>54,4</w:t>
            </w:r>
          </w:p>
        </w:tc>
        <w:tc>
          <w:tcPr>
            <w:tcW w:w="720" w:type="dxa"/>
            <w:shd w:val="clear" w:color="auto" w:fill="F7F7F7"/>
            <w:tcMar>
              <w:top w:w="20" w:type="dxa"/>
              <w:left w:w="35" w:type="dxa"/>
              <w:bottom w:w="20" w:type="dxa"/>
              <w:right w:w="35" w:type="dxa"/>
            </w:tcMar>
            <w:vAlign w:val="center"/>
          </w:tcPr>
          <w:p w14:paraId="404E21F4" w14:textId="77777777" w:rsidR="00843C23" w:rsidRPr="00BA4F7F" w:rsidRDefault="00000000">
            <w:pPr>
              <w:spacing w:after="0" w:line="221" w:lineRule="auto"/>
              <w:jc w:val="center"/>
            </w:pPr>
            <w:r w:rsidRPr="00BA4F7F">
              <w:rPr>
                <w:sz w:val="13"/>
              </w:rPr>
              <w:t>52,5</w:t>
            </w:r>
          </w:p>
        </w:tc>
        <w:tc>
          <w:tcPr>
            <w:tcW w:w="720" w:type="dxa"/>
            <w:shd w:val="clear" w:color="auto" w:fill="F7F7F7"/>
            <w:tcMar>
              <w:top w:w="20" w:type="dxa"/>
              <w:left w:w="35" w:type="dxa"/>
              <w:bottom w:w="20" w:type="dxa"/>
              <w:right w:w="35" w:type="dxa"/>
            </w:tcMar>
            <w:vAlign w:val="center"/>
          </w:tcPr>
          <w:p w14:paraId="107974AC" w14:textId="77777777" w:rsidR="00843C23" w:rsidRPr="00BA4F7F" w:rsidRDefault="00000000">
            <w:pPr>
              <w:spacing w:after="0" w:line="221" w:lineRule="auto"/>
              <w:jc w:val="center"/>
            </w:pPr>
            <w:r w:rsidRPr="00BA4F7F">
              <w:rPr>
                <w:sz w:val="13"/>
              </w:rPr>
              <w:t>47,8</w:t>
            </w:r>
          </w:p>
        </w:tc>
        <w:tc>
          <w:tcPr>
            <w:tcW w:w="720" w:type="dxa"/>
            <w:shd w:val="clear" w:color="auto" w:fill="F7F7F7"/>
            <w:tcMar>
              <w:top w:w="20" w:type="dxa"/>
              <w:left w:w="35" w:type="dxa"/>
              <w:bottom w:w="20" w:type="dxa"/>
              <w:right w:w="35" w:type="dxa"/>
            </w:tcMar>
            <w:vAlign w:val="center"/>
          </w:tcPr>
          <w:p w14:paraId="1E7D9499" w14:textId="77777777" w:rsidR="00843C23" w:rsidRPr="00BA4F7F" w:rsidRDefault="00000000">
            <w:pPr>
              <w:spacing w:after="0" w:line="221" w:lineRule="auto"/>
              <w:jc w:val="center"/>
            </w:pPr>
            <w:r w:rsidRPr="00BA4F7F">
              <w:rPr>
                <w:sz w:val="13"/>
              </w:rPr>
              <w:t>44,5</w:t>
            </w:r>
          </w:p>
        </w:tc>
        <w:tc>
          <w:tcPr>
            <w:tcW w:w="1008" w:type="dxa"/>
            <w:shd w:val="clear" w:color="auto" w:fill="F7F7F7"/>
            <w:tcMar>
              <w:top w:w="20" w:type="dxa"/>
              <w:left w:w="35" w:type="dxa"/>
              <w:bottom w:w="20" w:type="dxa"/>
              <w:right w:w="35" w:type="dxa"/>
            </w:tcMar>
            <w:vAlign w:val="center"/>
          </w:tcPr>
          <w:p w14:paraId="52BA6834" w14:textId="77777777" w:rsidR="002C59F5" w:rsidRDefault="00000000">
            <w:r>
              <w:t>−16,8</w:t>
            </w:r>
          </w:p>
        </w:tc>
      </w:tr>
      <w:tr w:rsidR="00843C23" w:rsidRPr="00BA4F7F" w14:paraId="6158953F" w14:textId="77777777">
        <w:trPr>
          <w:cantSplit/>
          <w:trHeight w:val="410"/>
          <w:jc w:val="center"/>
        </w:trPr>
        <w:tc>
          <w:tcPr>
            <w:tcW w:w="3816" w:type="dxa"/>
            <w:tcMar>
              <w:top w:w="20" w:type="dxa"/>
              <w:left w:w="35" w:type="dxa"/>
              <w:bottom w:w="20" w:type="dxa"/>
              <w:right w:w="35" w:type="dxa"/>
            </w:tcMar>
            <w:vAlign w:val="center"/>
          </w:tcPr>
          <w:p w14:paraId="2F88580F" w14:textId="77777777" w:rsidR="00843C23" w:rsidRPr="00BA4F7F" w:rsidRDefault="00000000">
            <w:pPr>
              <w:spacing w:after="0" w:line="221" w:lineRule="auto"/>
              <w:jc w:val="left"/>
            </w:pPr>
            <w:r w:rsidRPr="00BA4F7F">
              <w:rPr>
                <w:b/>
                <w:sz w:val="13"/>
              </w:rPr>
              <w:t>Dzietność</w:t>
            </w:r>
          </w:p>
        </w:tc>
        <w:tc>
          <w:tcPr>
            <w:tcW w:w="720" w:type="dxa"/>
            <w:tcMar>
              <w:top w:w="20" w:type="dxa"/>
              <w:left w:w="35" w:type="dxa"/>
              <w:bottom w:w="20" w:type="dxa"/>
              <w:right w:w="35" w:type="dxa"/>
            </w:tcMar>
            <w:vAlign w:val="center"/>
          </w:tcPr>
          <w:p w14:paraId="1CA71569" w14:textId="77777777" w:rsidR="00843C23" w:rsidRPr="00BA4F7F" w:rsidRDefault="00000000">
            <w:pPr>
              <w:spacing w:after="0" w:line="221" w:lineRule="auto"/>
              <w:jc w:val="center"/>
            </w:pPr>
            <w:r w:rsidRPr="00BA4F7F">
              <w:rPr>
                <w:sz w:val="13"/>
              </w:rPr>
              <w:t>46,2</w:t>
            </w:r>
          </w:p>
        </w:tc>
        <w:tc>
          <w:tcPr>
            <w:tcW w:w="720" w:type="dxa"/>
            <w:tcMar>
              <w:top w:w="20" w:type="dxa"/>
              <w:left w:w="35" w:type="dxa"/>
              <w:bottom w:w="20" w:type="dxa"/>
              <w:right w:w="35" w:type="dxa"/>
            </w:tcMar>
            <w:vAlign w:val="center"/>
          </w:tcPr>
          <w:p w14:paraId="50ED2E71" w14:textId="77777777" w:rsidR="00843C23" w:rsidRPr="00BA4F7F" w:rsidRDefault="00000000">
            <w:pPr>
              <w:spacing w:after="0" w:line="221" w:lineRule="auto"/>
              <w:jc w:val="center"/>
            </w:pPr>
            <w:r w:rsidRPr="00BA4F7F">
              <w:rPr>
                <w:sz w:val="13"/>
              </w:rPr>
              <w:t>38,8</w:t>
            </w:r>
          </w:p>
        </w:tc>
        <w:tc>
          <w:tcPr>
            <w:tcW w:w="720" w:type="dxa"/>
            <w:tcMar>
              <w:top w:w="20" w:type="dxa"/>
              <w:left w:w="35" w:type="dxa"/>
              <w:bottom w:w="20" w:type="dxa"/>
              <w:right w:w="35" w:type="dxa"/>
            </w:tcMar>
            <w:vAlign w:val="center"/>
          </w:tcPr>
          <w:p w14:paraId="361B81F6" w14:textId="77777777" w:rsidR="00843C23" w:rsidRPr="00BA4F7F" w:rsidRDefault="00000000">
            <w:pPr>
              <w:spacing w:after="0" w:line="221" w:lineRule="auto"/>
              <w:jc w:val="center"/>
            </w:pPr>
            <w:r w:rsidRPr="00BA4F7F">
              <w:rPr>
                <w:sz w:val="13"/>
              </w:rPr>
              <w:t>30,0</w:t>
            </w:r>
          </w:p>
        </w:tc>
        <w:tc>
          <w:tcPr>
            <w:tcW w:w="720" w:type="dxa"/>
            <w:tcMar>
              <w:top w:w="20" w:type="dxa"/>
              <w:left w:w="35" w:type="dxa"/>
              <w:bottom w:w="20" w:type="dxa"/>
              <w:right w:w="35" w:type="dxa"/>
            </w:tcMar>
            <w:vAlign w:val="center"/>
          </w:tcPr>
          <w:p w14:paraId="58559D32" w14:textId="77777777" w:rsidR="00843C23" w:rsidRPr="00BA4F7F" w:rsidRDefault="00000000">
            <w:pPr>
              <w:spacing w:after="0" w:line="221" w:lineRule="auto"/>
              <w:jc w:val="center"/>
            </w:pPr>
            <w:r w:rsidRPr="00BA4F7F">
              <w:rPr>
                <w:sz w:val="13"/>
              </w:rPr>
              <w:t>17,5</w:t>
            </w:r>
          </w:p>
        </w:tc>
        <w:tc>
          <w:tcPr>
            <w:tcW w:w="720" w:type="dxa"/>
            <w:tcMar>
              <w:top w:w="20" w:type="dxa"/>
              <w:left w:w="35" w:type="dxa"/>
              <w:bottom w:w="20" w:type="dxa"/>
              <w:right w:w="35" w:type="dxa"/>
            </w:tcMar>
            <w:vAlign w:val="center"/>
          </w:tcPr>
          <w:p w14:paraId="677C7768" w14:textId="77777777" w:rsidR="00843C23" w:rsidRPr="00BA4F7F" w:rsidRDefault="00000000">
            <w:pPr>
              <w:spacing w:after="0" w:line="221" w:lineRule="auto"/>
              <w:jc w:val="center"/>
            </w:pPr>
            <w:r w:rsidRPr="00BA4F7F">
              <w:rPr>
                <w:sz w:val="13"/>
              </w:rPr>
              <w:t>9,0</w:t>
            </w:r>
          </w:p>
        </w:tc>
        <w:tc>
          <w:tcPr>
            <w:tcW w:w="720" w:type="dxa"/>
            <w:tcMar>
              <w:top w:w="20" w:type="dxa"/>
              <w:left w:w="35" w:type="dxa"/>
              <w:bottom w:w="20" w:type="dxa"/>
              <w:right w:w="35" w:type="dxa"/>
            </w:tcMar>
            <w:vAlign w:val="center"/>
          </w:tcPr>
          <w:p w14:paraId="2CFDAE5E" w14:textId="77777777" w:rsidR="00843C23" w:rsidRPr="00BA4F7F" w:rsidRDefault="00000000">
            <w:pPr>
              <w:spacing w:after="0" w:line="221" w:lineRule="auto"/>
              <w:jc w:val="center"/>
            </w:pPr>
            <w:r w:rsidRPr="00BA4F7F">
              <w:rPr>
                <w:sz w:val="13"/>
              </w:rPr>
              <w:t>6,0</w:t>
            </w:r>
          </w:p>
        </w:tc>
        <w:tc>
          <w:tcPr>
            <w:tcW w:w="1008" w:type="dxa"/>
            <w:tcMar>
              <w:top w:w="20" w:type="dxa"/>
              <w:left w:w="35" w:type="dxa"/>
              <w:bottom w:w="20" w:type="dxa"/>
              <w:right w:w="35" w:type="dxa"/>
            </w:tcMar>
            <w:vAlign w:val="center"/>
          </w:tcPr>
          <w:p w14:paraId="1B1720F8" w14:textId="77777777" w:rsidR="002C59F5" w:rsidRDefault="00000000">
            <w:r>
              <w:t>−40,2</w:t>
            </w:r>
          </w:p>
        </w:tc>
      </w:tr>
      <w:tr w:rsidR="00843C23" w:rsidRPr="00BA4F7F" w14:paraId="18F8BB46" w14:textId="77777777">
        <w:trPr>
          <w:cantSplit/>
          <w:trHeight w:val="410"/>
          <w:jc w:val="center"/>
        </w:trPr>
        <w:tc>
          <w:tcPr>
            <w:tcW w:w="3816" w:type="dxa"/>
            <w:shd w:val="clear" w:color="auto" w:fill="F7F7F7"/>
            <w:tcMar>
              <w:top w:w="20" w:type="dxa"/>
              <w:left w:w="35" w:type="dxa"/>
              <w:bottom w:w="20" w:type="dxa"/>
              <w:right w:w="35" w:type="dxa"/>
            </w:tcMar>
            <w:vAlign w:val="center"/>
          </w:tcPr>
          <w:p w14:paraId="1E6272D9" w14:textId="77777777" w:rsidR="00843C23" w:rsidRPr="00BA4F7F" w:rsidRDefault="00000000">
            <w:pPr>
              <w:spacing w:after="0" w:line="221" w:lineRule="auto"/>
              <w:jc w:val="left"/>
            </w:pPr>
            <w:r w:rsidRPr="00BA4F7F">
              <w:rPr>
                <w:b/>
                <w:sz w:val="13"/>
              </w:rPr>
              <w:t>Aktywność państwa wobec kryzysu demograficznego</w:t>
            </w:r>
          </w:p>
        </w:tc>
        <w:tc>
          <w:tcPr>
            <w:tcW w:w="720" w:type="dxa"/>
            <w:shd w:val="clear" w:color="auto" w:fill="F7F7F7"/>
            <w:tcMar>
              <w:top w:w="20" w:type="dxa"/>
              <w:left w:w="35" w:type="dxa"/>
              <w:bottom w:w="20" w:type="dxa"/>
              <w:right w:w="35" w:type="dxa"/>
            </w:tcMar>
            <w:vAlign w:val="center"/>
          </w:tcPr>
          <w:p w14:paraId="41DCA3F5" w14:textId="77777777" w:rsidR="00843C23" w:rsidRPr="00BA4F7F" w:rsidRDefault="00000000">
            <w:pPr>
              <w:spacing w:after="0" w:line="221" w:lineRule="auto"/>
              <w:jc w:val="center"/>
            </w:pPr>
            <w:r w:rsidRPr="00BA4F7F">
              <w:rPr>
                <w:sz w:val="13"/>
              </w:rPr>
              <w:t>59,0</w:t>
            </w:r>
          </w:p>
        </w:tc>
        <w:tc>
          <w:tcPr>
            <w:tcW w:w="720" w:type="dxa"/>
            <w:shd w:val="clear" w:color="auto" w:fill="F7F7F7"/>
            <w:tcMar>
              <w:top w:w="20" w:type="dxa"/>
              <w:left w:w="35" w:type="dxa"/>
              <w:bottom w:w="20" w:type="dxa"/>
              <w:right w:w="35" w:type="dxa"/>
            </w:tcMar>
            <w:vAlign w:val="center"/>
          </w:tcPr>
          <w:p w14:paraId="488ABF87" w14:textId="77777777" w:rsidR="00843C23" w:rsidRPr="00BA4F7F" w:rsidRDefault="00000000">
            <w:pPr>
              <w:spacing w:after="0" w:line="221" w:lineRule="auto"/>
              <w:jc w:val="center"/>
            </w:pPr>
            <w:r w:rsidRPr="00BA4F7F">
              <w:rPr>
                <w:sz w:val="13"/>
              </w:rPr>
              <w:t>58,4</w:t>
            </w:r>
          </w:p>
        </w:tc>
        <w:tc>
          <w:tcPr>
            <w:tcW w:w="720" w:type="dxa"/>
            <w:shd w:val="clear" w:color="auto" w:fill="F7F7F7"/>
            <w:tcMar>
              <w:top w:w="20" w:type="dxa"/>
              <w:left w:w="35" w:type="dxa"/>
              <w:bottom w:w="20" w:type="dxa"/>
              <w:right w:w="35" w:type="dxa"/>
            </w:tcMar>
            <w:vAlign w:val="center"/>
          </w:tcPr>
          <w:p w14:paraId="0DE26980" w14:textId="77777777" w:rsidR="00843C23" w:rsidRPr="00BA4F7F" w:rsidRDefault="00000000">
            <w:pPr>
              <w:spacing w:after="0" w:line="221" w:lineRule="auto"/>
              <w:jc w:val="center"/>
            </w:pPr>
            <w:r w:rsidRPr="00BA4F7F">
              <w:rPr>
                <w:sz w:val="13"/>
              </w:rPr>
              <w:t>58,7</w:t>
            </w:r>
          </w:p>
        </w:tc>
        <w:tc>
          <w:tcPr>
            <w:tcW w:w="720" w:type="dxa"/>
            <w:shd w:val="clear" w:color="auto" w:fill="F7F7F7"/>
            <w:tcMar>
              <w:top w:w="20" w:type="dxa"/>
              <w:left w:w="35" w:type="dxa"/>
              <w:bottom w:w="20" w:type="dxa"/>
              <w:right w:w="35" w:type="dxa"/>
            </w:tcMar>
            <w:vAlign w:val="center"/>
          </w:tcPr>
          <w:p w14:paraId="41F6039B" w14:textId="77777777" w:rsidR="00843C23" w:rsidRPr="00BA4F7F" w:rsidRDefault="00000000">
            <w:pPr>
              <w:spacing w:after="0" w:line="221" w:lineRule="auto"/>
              <w:jc w:val="center"/>
            </w:pPr>
            <w:r w:rsidRPr="00BA4F7F">
              <w:rPr>
                <w:sz w:val="13"/>
              </w:rPr>
              <w:t>59,2</w:t>
            </w:r>
          </w:p>
        </w:tc>
        <w:tc>
          <w:tcPr>
            <w:tcW w:w="720" w:type="dxa"/>
            <w:shd w:val="clear" w:color="auto" w:fill="F7F7F7"/>
            <w:tcMar>
              <w:top w:w="20" w:type="dxa"/>
              <w:left w:w="35" w:type="dxa"/>
              <w:bottom w:w="20" w:type="dxa"/>
              <w:right w:w="35" w:type="dxa"/>
            </w:tcMar>
            <w:vAlign w:val="center"/>
          </w:tcPr>
          <w:p w14:paraId="15F51C51" w14:textId="77777777" w:rsidR="00843C23" w:rsidRPr="00BA4F7F" w:rsidRDefault="00000000">
            <w:pPr>
              <w:spacing w:after="0" w:line="221" w:lineRule="auto"/>
              <w:jc w:val="center"/>
            </w:pPr>
            <w:r w:rsidRPr="00BA4F7F">
              <w:rPr>
                <w:sz w:val="13"/>
              </w:rPr>
              <w:t>50,3</w:t>
            </w:r>
          </w:p>
        </w:tc>
        <w:tc>
          <w:tcPr>
            <w:tcW w:w="720" w:type="dxa"/>
            <w:shd w:val="clear" w:color="auto" w:fill="F7F7F7"/>
            <w:tcMar>
              <w:top w:w="20" w:type="dxa"/>
              <w:left w:w="35" w:type="dxa"/>
              <w:bottom w:w="20" w:type="dxa"/>
              <w:right w:w="35" w:type="dxa"/>
            </w:tcMar>
            <w:vAlign w:val="center"/>
          </w:tcPr>
          <w:p w14:paraId="774BFC14" w14:textId="77777777" w:rsidR="00843C23" w:rsidRPr="00BA4F7F" w:rsidRDefault="00000000">
            <w:pPr>
              <w:spacing w:after="0" w:line="221" w:lineRule="auto"/>
              <w:jc w:val="center"/>
            </w:pPr>
            <w:r w:rsidRPr="00BA4F7F">
              <w:rPr>
                <w:sz w:val="13"/>
              </w:rPr>
              <w:t>46,0</w:t>
            </w:r>
          </w:p>
        </w:tc>
        <w:tc>
          <w:tcPr>
            <w:tcW w:w="1008" w:type="dxa"/>
            <w:shd w:val="clear" w:color="auto" w:fill="F7F7F7"/>
            <w:tcMar>
              <w:top w:w="20" w:type="dxa"/>
              <w:left w:w="35" w:type="dxa"/>
              <w:bottom w:w="20" w:type="dxa"/>
              <w:right w:w="35" w:type="dxa"/>
            </w:tcMar>
            <w:vAlign w:val="center"/>
          </w:tcPr>
          <w:p w14:paraId="3912955C" w14:textId="77777777" w:rsidR="002C59F5" w:rsidRDefault="00000000">
            <w:r>
              <w:t>−13,0</w:t>
            </w:r>
          </w:p>
        </w:tc>
      </w:tr>
      <w:tr w:rsidR="00843C23" w:rsidRPr="00BA4F7F" w14:paraId="57CFB8BF" w14:textId="77777777">
        <w:trPr>
          <w:cantSplit/>
          <w:trHeight w:val="410"/>
          <w:jc w:val="center"/>
        </w:trPr>
        <w:tc>
          <w:tcPr>
            <w:tcW w:w="3816" w:type="dxa"/>
            <w:tcMar>
              <w:top w:w="20" w:type="dxa"/>
              <w:left w:w="35" w:type="dxa"/>
              <w:bottom w:w="20" w:type="dxa"/>
              <w:right w:w="35" w:type="dxa"/>
            </w:tcMar>
            <w:vAlign w:val="center"/>
          </w:tcPr>
          <w:p w14:paraId="19351F89" w14:textId="77777777" w:rsidR="00843C23" w:rsidRPr="00BA4F7F" w:rsidRDefault="00000000">
            <w:pPr>
              <w:spacing w:after="0" w:line="221" w:lineRule="auto"/>
              <w:jc w:val="left"/>
            </w:pPr>
            <w:r w:rsidRPr="00BA4F7F">
              <w:rPr>
                <w:b/>
                <w:sz w:val="13"/>
              </w:rPr>
              <w:t>Dochody i warunki życia</w:t>
            </w:r>
          </w:p>
        </w:tc>
        <w:tc>
          <w:tcPr>
            <w:tcW w:w="720" w:type="dxa"/>
            <w:tcMar>
              <w:top w:w="20" w:type="dxa"/>
              <w:left w:w="35" w:type="dxa"/>
              <w:bottom w:w="20" w:type="dxa"/>
              <w:right w:w="35" w:type="dxa"/>
            </w:tcMar>
            <w:vAlign w:val="center"/>
          </w:tcPr>
          <w:p w14:paraId="2607799A" w14:textId="77777777" w:rsidR="00843C23" w:rsidRPr="00BA4F7F" w:rsidRDefault="00000000">
            <w:pPr>
              <w:spacing w:after="0" w:line="221" w:lineRule="auto"/>
              <w:jc w:val="center"/>
            </w:pPr>
            <w:r w:rsidRPr="00BA4F7F">
              <w:rPr>
                <w:sz w:val="13"/>
              </w:rPr>
              <w:t>68,1</w:t>
            </w:r>
          </w:p>
        </w:tc>
        <w:tc>
          <w:tcPr>
            <w:tcW w:w="720" w:type="dxa"/>
            <w:tcMar>
              <w:top w:w="20" w:type="dxa"/>
              <w:left w:w="35" w:type="dxa"/>
              <w:bottom w:w="20" w:type="dxa"/>
              <w:right w:w="35" w:type="dxa"/>
            </w:tcMar>
            <w:vAlign w:val="center"/>
          </w:tcPr>
          <w:p w14:paraId="07D0D095" w14:textId="77777777" w:rsidR="00843C23" w:rsidRPr="00BA4F7F" w:rsidRDefault="00000000">
            <w:pPr>
              <w:spacing w:after="0" w:line="221" w:lineRule="auto"/>
              <w:jc w:val="center"/>
            </w:pPr>
            <w:r w:rsidRPr="00BA4F7F">
              <w:rPr>
                <w:sz w:val="13"/>
              </w:rPr>
              <w:t>69,8</w:t>
            </w:r>
          </w:p>
        </w:tc>
        <w:tc>
          <w:tcPr>
            <w:tcW w:w="720" w:type="dxa"/>
            <w:tcMar>
              <w:top w:w="20" w:type="dxa"/>
              <w:left w:w="35" w:type="dxa"/>
              <w:bottom w:w="20" w:type="dxa"/>
              <w:right w:w="35" w:type="dxa"/>
            </w:tcMar>
            <w:vAlign w:val="center"/>
          </w:tcPr>
          <w:p w14:paraId="70DE8A1D" w14:textId="77777777" w:rsidR="00843C23" w:rsidRPr="00BA4F7F" w:rsidRDefault="00000000">
            <w:pPr>
              <w:spacing w:after="0" w:line="221" w:lineRule="auto"/>
              <w:jc w:val="center"/>
            </w:pPr>
            <w:r w:rsidRPr="00BA4F7F">
              <w:rPr>
                <w:sz w:val="13"/>
              </w:rPr>
              <w:t>70,4</w:t>
            </w:r>
          </w:p>
        </w:tc>
        <w:tc>
          <w:tcPr>
            <w:tcW w:w="720" w:type="dxa"/>
            <w:tcMar>
              <w:top w:w="20" w:type="dxa"/>
              <w:left w:w="35" w:type="dxa"/>
              <w:bottom w:w="20" w:type="dxa"/>
              <w:right w:w="35" w:type="dxa"/>
            </w:tcMar>
            <w:vAlign w:val="center"/>
          </w:tcPr>
          <w:p w14:paraId="24657E43" w14:textId="77777777" w:rsidR="00843C23" w:rsidRPr="00BA4F7F" w:rsidRDefault="00000000">
            <w:pPr>
              <w:spacing w:after="0" w:line="221" w:lineRule="auto"/>
              <w:jc w:val="center"/>
            </w:pPr>
            <w:r w:rsidRPr="00BA4F7F">
              <w:rPr>
                <w:sz w:val="13"/>
              </w:rPr>
              <w:t>72,2</w:t>
            </w:r>
          </w:p>
        </w:tc>
        <w:tc>
          <w:tcPr>
            <w:tcW w:w="720" w:type="dxa"/>
            <w:tcMar>
              <w:top w:w="20" w:type="dxa"/>
              <w:left w:w="35" w:type="dxa"/>
              <w:bottom w:w="20" w:type="dxa"/>
              <w:right w:w="35" w:type="dxa"/>
            </w:tcMar>
            <w:vAlign w:val="center"/>
          </w:tcPr>
          <w:p w14:paraId="64A99067" w14:textId="77777777" w:rsidR="00843C23" w:rsidRPr="00BA4F7F" w:rsidRDefault="00000000">
            <w:pPr>
              <w:spacing w:after="0" w:line="221" w:lineRule="auto"/>
              <w:jc w:val="center"/>
            </w:pPr>
            <w:r w:rsidRPr="00BA4F7F">
              <w:rPr>
                <w:sz w:val="13"/>
              </w:rPr>
              <w:t>72,8</w:t>
            </w:r>
          </w:p>
        </w:tc>
        <w:tc>
          <w:tcPr>
            <w:tcW w:w="720" w:type="dxa"/>
            <w:tcMar>
              <w:top w:w="20" w:type="dxa"/>
              <w:left w:w="35" w:type="dxa"/>
              <w:bottom w:w="20" w:type="dxa"/>
              <w:right w:w="35" w:type="dxa"/>
            </w:tcMar>
            <w:vAlign w:val="center"/>
          </w:tcPr>
          <w:p w14:paraId="5815A4DF" w14:textId="77777777" w:rsidR="00843C23" w:rsidRPr="00BA4F7F" w:rsidRDefault="00000000">
            <w:pPr>
              <w:spacing w:after="0" w:line="221" w:lineRule="auto"/>
              <w:jc w:val="center"/>
            </w:pPr>
            <w:r w:rsidRPr="00BA4F7F">
              <w:rPr>
                <w:sz w:val="13"/>
              </w:rPr>
              <w:t>76,5</w:t>
            </w:r>
          </w:p>
        </w:tc>
        <w:tc>
          <w:tcPr>
            <w:tcW w:w="1008" w:type="dxa"/>
            <w:tcMar>
              <w:top w:w="20" w:type="dxa"/>
              <w:left w:w="35" w:type="dxa"/>
              <w:bottom w:w="20" w:type="dxa"/>
              <w:right w:w="35" w:type="dxa"/>
            </w:tcMar>
            <w:vAlign w:val="center"/>
          </w:tcPr>
          <w:p w14:paraId="5162D69A" w14:textId="77777777" w:rsidR="00843C23" w:rsidRPr="00BA4F7F" w:rsidRDefault="00000000">
            <w:pPr>
              <w:spacing w:after="0" w:line="221" w:lineRule="auto"/>
              <w:jc w:val="center"/>
            </w:pPr>
            <w:r w:rsidRPr="00BA4F7F">
              <w:rPr>
                <w:sz w:val="13"/>
              </w:rPr>
              <w:t>+8,3</w:t>
            </w:r>
          </w:p>
        </w:tc>
      </w:tr>
      <w:tr w:rsidR="00843C23" w:rsidRPr="00BA4F7F" w14:paraId="1170BC12" w14:textId="77777777">
        <w:trPr>
          <w:cantSplit/>
          <w:trHeight w:val="410"/>
          <w:jc w:val="center"/>
        </w:trPr>
        <w:tc>
          <w:tcPr>
            <w:tcW w:w="3816" w:type="dxa"/>
            <w:shd w:val="clear" w:color="auto" w:fill="F7F7F7"/>
            <w:tcMar>
              <w:top w:w="20" w:type="dxa"/>
              <w:left w:w="35" w:type="dxa"/>
              <w:bottom w:w="20" w:type="dxa"/>
              <w:right w:w="35" w:type="dxa"/>
            </w:tcMar>
            <w:vAlign w:val="center"/>
          </w:tcPr>
          <w:p w14:paraId="56EF5951" w14:textId="77777777" w:rsidR="00843C23" w:rsidRPr="00BA4F7F" w:rsidRDefault="00000000">
            <w:pPr>
              <w:spacing w:after="0" w:line="221" w:lineRule="auto"/>
              <w:jc w:val="left"/>
            </w:pPr>
            <w:r w:rsidRPr="00BA4F7F">
              <w:rPr>
                <w:b/>
                <w:sz w:val="13"/>
              </w:rPr>
              <w:t>Integracja i kapitał społeczny</w:t>
            </w:r>
          </w:p>
        </w:tc>
        <w:tc>
          <w:tcPr>
            <w:tcW w:w="720" w:type="dxa"/>
            <w:shd w:val="clear" w:color="auto" w:fill="F7F7F7"/>
            <w:tcMar>
              <w:top w:w="20" w:type="dxa"/>
              <w:left w:w="35" w:type="dxa"/>
              <w:bottom w:w="20" w:type="dxa"/>
              <w:right w:w="35" w:type="dxa"/>
            </w:tcMar>
            <w:vAlign w:val="center"/>
          </w:tcPr>
          <w:p w14:paraId="374261C7" w14:textId="77777777" w:rsidR="00843C23" w:rsidRPr="00BA4F7F" w:rsidRDefault="00000000">
            <w:pPr>
              <w:spacing w:after="0" w:line="221" w:lineRule="auto"/>
              <w:jc w:val="center"/>
            </w:pPr>
            <w:r w:rsidRPr="00BA4F7F">
              <w:rPr>
                <w:sz w:val="13"/>
              </w:rPr>
              <w:t>52,1</w:t>
            </w:r>
          </w:p>
        </w:tc>
        <w:tc>
          <w:tcPr>
            <w:tcW w:w="720" w:type="dxa"/>
            <w:shd w:val="clear" w:color="auto" w:fill="F7F7F7"/>
            <w:tcMar>
              <w:top w:w="20" w:type="dxa"/>
              <w:left w:w="35" w:type="dxa"/>
              <w:bottom w:w="20" w:type="dxa"/>
              <w:right w:w="35" w:type="dxa"/>
            </w:tcMar>
            <w:vAlign w:val="center"/>
          </w:tcPr>
          <w:p w14:paraId="08ADD19C" w14:textId="77777777" w:rsidR="00843C23" w:rsidRPr="00BA4F7F" w:rsidRDefault="00000000">
            <w:pPr>
              <w:spacing w:after="0" w:line="221" w:lineRule="auto"/>
              <w:jc w:val="center"/>
            </w:pPr>
            <w:r w:rsidRPr="00BA4F7F">
              <w:rPr>
                <w:sz w:val="13"/>
              </w:rPr>
              <w:t>45,0</w:t>
            </w:r>
          </w:p>
        </w:tc>
        <w:tc>
          <w:tcPr>
            <w:tcW w:w="720" w:type="dxa"/>
            <w:shd w:val="clear" w:color="auto" w:fill="F7F7F7"/>
            <w:tcMar>
              <w:top w:w="20" w:type="dxa"/>
              <w:left w:w="35" w:type="dxa"/>
              <w:bottom w:w="20" w:type="dxa"/>
              <w:right w:w="35" w:type="dxa"/>
            </w:tcMar>
            <w:vAlign w:val="center"/>
          </w:tcPr>
          <w:p w14:paraId="0F4EF7A3" w14:textId="77777777" w:rsidR="00843C23" w:rsidRPr="00BA4F7F" w:rsidRDefault="00000000">
            <w:pPr>
              <w:spacing w:after="0" w:line="221" w:lineRule="auto"/>
              <w:jc w:val="center"/>
            </w:pPr>
            <w:r w:rsidRPr="00BA4F7F">
              <w:rPr>
                <w:sz w:val="13"/>
              </w:rPr>
              <w:t>34,5</w:t>
            </w:r>
          </w:p>
        </w:tc>
        <w:tc>
          <w:tcPr>
            <w:tcW w:w="720" w:type="dxa"/>
            <w:shd w:val="clear" w:color="auto" w:fill="F7F7F7"/>
            <w:tcMar>
              <w:top w:w="20" w:type="dxa"/>
              <w:left w:w="35" w:type="dxa"/>
              <w:bottom w:w="20" w:type="dxa"/>
              <w:right w:w="35" w:type="dxa"/>
            </w:tcMar>
            <w:vAlign w:val="center"/>
          </w:tcPr>
          <w:p w14:paraId="637ED0E6" w14:textId="77777777" w:rsidR="00843C23" w:rsidRPr="00BA4F7F" w:rsidRDefault="00000000">
            <w:pPr>
              <w:spacing w:after="0" w:line="221" w:lineRule="auto"/>
              <w:jc w:val="center"/>
            </w:pPr>
            <w:r w:rsidRPr="00BA4F7F">
              <w:rPr>
                <w:sz w:val="13"/>
              </w:rPr>
              <w:t>36,7</w:t>
            </w:r>
          </w:p>
        </w:tc>
        <w:tc>
          <w:tcPr>
            <w:tcW w:w="720" w:type="dxa"/>
            <w:shd w:val="clear" w:color="auto" w:fill="F7F7F7"/>
            <w:tcMar>
              <w:top w:w="20" w:type="dxa"/>
              <w:left w:w="35" w:type="dxa"/>
              <w:bottom w:w="20" w:type="dxa"/>
              <w:right w:w="35" w:type="dxa"/>
            </w:tcMar>
            <w:vAlign w:val="center"/>
          </w:tcPr>
          <w:p w14:paraId="1320F999" w14:textId="77777777" w:rsidR="00843C23" w:rsidRPr="00BA4F7F" w:rsidRDefault="00000000">
            <w:pPr>
              <w:spacing w:after="0" w:line="221" w:lineRule="auto"/>
              <w:jc w:val="center"/>
            </w:pPr>
            <w:r w:rsidRPr="00BA4F7F">
              <w:rPr>
                <w:sz w:val="13"/>
              </w:rPr>
              <w:t>40,3</w:t>
            </w:r>
          </w:p>
        </w:tc>
        <w:tc>
          <w:tcPr>
            <w:tcW w:w="720" w:type="dxa"/>
            <w:shd w:val="clear" w:color="auto" w:fill="F7F7F7"/>
            <w:tcMar>
              <w:top w:w="20" w:type="dxa"/>
              <w:left w:w="35" w:type="dxa"/>
              <w:bottom w:w="20" w:type="dxa"/>
              <w:right w:w="35" w:type="dxa"/>
            </w:tcMar>
            <w:vAlign w:val="center"/>
          </w:tcPr>
          <w:p w14:paraId="73142797" w14:textId="77777777" w:rsidR="00843C23" w:rsidRPr="00BA4F7F" w:rsidRDefault="00000000">
            <w:pPr>
              <w:spacing w:after="0" w:line="221" w:lineRule="auto"/>
              <w:jc w:val="center"/>
            </w:pPr>
            <w:r w:rsidRPr="00BA4F7F">
              <w:rPr>
                <w:sz w:val="13"/>
              </w:rPr>
              <w:t>38,0</w:t>
            </w:r>
          </w:p>
        </w:tc>
        <w:tc>
          <w:tcPr>
            <w:tcW w:w="1008" w:type="dxa"/>
            <w:shd w:val="clear" w:color="auto" w:fill="F7F7F7"/>
            <w:tcMar>
              <w:top w:w="20" w:type="dxa"/>
              <w:left w:w="35" w:type="dxa"/>
              <w:bottom w:w="20" w:type="dxa"/>
              <w:right w:w="35" w:type="dxa"/>
            </w:tcMar>
            <w:vAlign w:val="center"/>
          </w:tcPr>
          <w:p w14:paraId="673FB0DB" w14:textId="77777777" w:rsidR="002C59F5" w:rsidRDefault="00000000">
            <w:r>
              <w:t>−14,1</w:t>
            </w:r>
          </w:p>
        </w:tc>
      </w:tr>
      <w:tr w:rsidR="00843C23" w:rsidRPr="00BA4F7F" w14:paraId="1099103A" w14:textId="77777777">
        <w:trPr>
          <w:cantSplit/>
          <w:trHeight w:val="410"/>
          <w:jc w:val="center"/>
        </w:trPr>
        <w:tc>
          <w:tcPr>
            <w:tcW w:w="3816" w:type="dxa"/>
            <w:tcMar>
              <w:top w:w="20" w:type="dxa"/>
              <w:left w:w="35" w:type="dxa"/>
              <w:bottom w:w="20" w:type="dxa"/>
              <w:right w:w="35" w:type="dxa"/>
            </w:tcMar>
            <w:vAlign w:val="center"/>
          </w:tcPr>
          <w:p w14:paraId="2CEBB158" w14:textId="77777777" w:rsidR="00843C23" w:rsidRPr="00BA4F7F" w:rsidRDefault="00000000">
            <w:pPr>
              <w:spacing w:after="0" w:line="221" w:lineRule="auto"/>
              <w:jc w:val="left"/>
            </w:pPr>
            <w:r w:rsidRPr="00BA4F7F">
              <w:rPr>
                <w:b/>
                <w:sz w:val="13"/>
              </w:rPr>
              <w:t>Energetyka</w:t>
            </w:r>
          </w:p>
        </w:tc>
        <w:tc>
          <w:tcPr>
            <w:tcW w:w="720" w:type="dxa"/>
            <w:tcMar>
              <w:top w:w="20" w:type="dxa"/>
              <w:left w:w="35" w:type="dxa"/>
              <w:bottom w:w="20" w:type="dxa"/>
              <w:right w:w="35" w:type="dxa"/>
            </w:tcMar>
            <w:vAlign w:val="center"/>
          </w:tcPr>
          <w:p w14:paraId="68FF3649" w14:textId="77777777" w:rsidR="00843C23" w:rsidRPr="00BA4F7F" w:rsidRDefault="00000000">
            <w:pPr>
              <w:spacing w:after="0" w:line="221" w:lineRule="auto"/>
              <w:jc w:val="center"/>
            </w:pPr>
            <w:r>
              <w:rPr>
                <w:sz w:val="13"/>
              </w:rPr>
              <w:t>70,4</w:t>
            </w:r>
          </w:p>
        </w:tc>
        <w:tc>
          <w:tcPr>
            <w:tcW w:w="720" w:type="dxa"/>
            <w:tcMar>
              <w:top w:w="20" w:type="dxa"/>
              <w:left w:w="35" w:type="dxa"/>
              <w:bottom w:w="20" w:type="dxa"/>
              <w:right w:w="35" w:type="dxa"/>
            </w:tcMar>
            <w:vAlign w:val="center"/>
          </w:tcPr>
          <w:p w14:paraId="21D28D00" w14:textId="77777777" w:rsidR="00843C23" w:rsidRPr="00BA4F7F" w:rsidRDefault="00000000">
            <w:pPr>
              <w:spacing w:after="0" w:line="221" w:lineRule="auto"/>
              <w:jc w:val="center"/>
            </w:pPr>
            <w:r>
              <w:rPr>
                <w:sz w:val="13"/>
              </w:rPr>
              <w:t>70,8</w:t>
            </w:r>
          </w:p>
        </w:tc>
        <w:tc>
          <w:tcPr>
            <w:tcW w:w="720" w:type="dxa"/>
            <w:tcMar>
              <w:top w:w="20" w:type="dxa"/>
              <w:left w:w="35" w:type="dxa"/>
              <w:bottom w:w="20" w:type="dxa"/>
              <w:right w:w="35" w:type="dxa"/>
            </w:tcMar>
            <w:vAlign w:val="center"/>
          </w:tcPr>
          <w:p w14:paraId="257803DB" w14:textId="77777777" w:rsidR="00843C23" w:rsidRPr="00BA4F7F" w:rsidRDefault="00000000">
            <w:pPr>
              <w:spacing w:after="0" w:line="221" w:lineRule="auto"/>
              <w:jc w:val="center"/>
            </w:pPr>
            <w:r>
              <w:rPr>
                <w:sz w:val="13"/>
              </w:rPr>
              <w:t>74,1</w:t>
            </w:r>
          </w:p>
        </w:tc>
        <w:tc>
          <w:tcPr>
            <w:tcW w:w="720" w:type="dxa"/>
            <w:tcMar>
              <w:top w:w="20" w:type="dxa"/>
              <w:left w:w="35" w:type="dxa"/>
              <w:bottom w:w="20" w:type="dxa"/>
              <w:right w:w="35" w:type="dxa"/>
            </w:tcMar>
            <w:vAlign w:val="center"/>
          </w:tcPr>
          <w:p w14:paraId="0838ADA5" w14:textId="77777777" w:rsidR="00843C23" w:rsidRPr="00BA4F7F" w:rsidRDefault="00000000">
            <w:pPr>
              <w:spacing w:after="0" w:line="221" w:lineRule="auto"/>
              <w:jc w:val="center"/>
            </w:pPr>
            <w:r>
              <w:rPr>
                <w:sz w:val="13"/>
              </w:rPr>
              <w:t>74,0</w:t>
            </w:r>
          </w:p>
        </w:tc>
        <w:tc>
          <w:tcPr>
            <w:tcW w:w="720" w:type="dxa"/>
            <w:tcMar>
              <w:top w:w="20" w:type="dxa"/>
              <w:left w:w="35" w:type="dxa"/>
              <w:bottom w:w="20" w:type="dxa"/>
              <w:right w:w="35" w:type="dxa"/>
            </w:tcMar>
            <w:vAlign w:val="center"/>
          </w:tcPr>
          <w:p w14:paraId="016A588E" w14:textId="77777777" w:rsidR="00843C23" w:rsidRPr="00BA4F7F" w:rsidRDefault="00000000">
            <w:pPr>
              <w:spacing w:after="0" w:line="221" w:lineRule="auto"/>
              <w:jc w:val="center"/>
            </w:pPr>
            <w:r>
              <w:rPr>
                <w:sz w:val="13"/>
              </w:rPr>
              <w:t>70,8</w:t>
            </w:r>
          </w:p>
        </w:tc>
        <w:tc>
          <w:tcPr>
            <w:tcW w:w="720" w:type="dxa"/>
            <w:tcMar>
              <w:top w:w="20" w:type="dxa"/>
              <w:left w:w="35" w:type="dxa"/>
              <w:bottom w:w="20" w:type="dxa"/>
              <w:right w:w="35" w:type="dxa"/>
            </w:tcMar>
            <w:vAlign w:val="center"/>
          </w:tcPr>
          <w:p w14:paraId="67D3E93E" w14:textId="77777777" w:rsidR="00843C23" w:rsidRPr="00BA4F7F" w:rsidRDefault="00000000">
            <w:pPr>
              <w:spacing w:after="0" w:line="221" w:lineRule="auto"/>
              <w:jc w:val="center"/>
            </w:pPr>
            <w:r>
              <w:rPr>
                <w:sz w:val="13"/>
              </w:rPr>
              <w:t>69,5</w:t>
            </w:r>
          </w:p>
        </w:tc>
        <w:tc>
          <w:tcPr>
            <w:tcW w:w="1008" w:type="dxa"/>
            <w:tcMar>
              <w:top w:w="20" w:type="dxa"/>
              <w:left w:w="35" w:type="dxa"/>
              <w:bottom w:w="20" w:type="dxa"/>
              <w:right w:w="35" w:type="dxa"/>
            </w:tcMar>
            <w:vAlign w:val="center"/>
          </w:tcPr>
          <w:p w14:paraId="47A7EF6D" w14:textId="77777777" w:rsidR="002C59F5" w:rsidRDefault="00000000">
            <w:r>
              <w:t>−0,9</w:t>
            </w:r>
          </w:p>
        </w:tc>
      </w:tr>
      <w:tr w:rsidR="00843C23" w:rsidRPr="00BA4F7F" w14:paraId="4711FCD7" w14:textId="77777777">
        <w:trPr>
          <w:cantSplit/>
          <w:trHeight w:val="410"/>
          <w:jc w:val="center"/>
        </w:trPr>
        <w:tc>
          <w:tcPr>
            <w:tcW w:w="3816" w:type="dxa"/>
            <w:shd w:val="clear" w:color="auto" w:fill="F7F7F7"/>
            <w:tcMar>
              <w:top w:w="20" w:type="dxa"/>
              <w:left w:w="35" w:type="dxa"/>
              <w:bottom w:w="20" w:type="dxa"/>
              <w:right w:w="35" w:type="dxa"/>
            </w:tcMar>
            <w:vAlign w:val="center"/>
          </w:tcPr>
          <w:p w14:paraId="5B103C90" w14:textId="77777777" w:rsidR="00843C23" w:rsidRPr="00BA4F7F" w:rsidRDefault="00000000">
            <w:pPr>
              <w:spacing w:after="0" w:line="221" w:lineRule="auto"/>
              <w:jc w:val="left"/>
            </w:pPr>
            <w:r w:rsidRPr="00BA4F7F">
              <w:rPr>
                <w:b/>
                <w:sz w:val="13"/>
              </w:rPr>
              <w:t>Transport i logistyka</w:t>
            </w:r>
          </w:p>
        </w:tc>
        <w:tc>
          <w:tcPr>
            <w:tcW w:w="720" w:type="dxa"/>
            <w:shd w:val="clear" w:color="auto" w:fill="F7F7F7"/>
            <w:tcMar>
              <w:top w:w="20" w:type="dxa"/>
              <w:left w:w="35" w:type="dxa"/>
              <w:bottom w:w="20" w:type="dxa"/>
              <w:right w:w="35" w:type="dxa"/>
            </w:tcMar>
            <w:vAlign w:val="center"/>
          </w:tcPr>
          <w:p w14:paraId="18F042B2" w14:textId="77777777" w:rsidR="00843C23" w:rsidRPr="00BA4F7F" w:rsidRDefault="00000000">
            <w:pPr>
              <w:spacing w:after="0" w:line="221" w:lineRule="auto"/>
              <w:jc w:val="center"/>
            </w:pPr>
            <w:r w:rsidRPr="00BA4F7F">
              <w:rPr>
                <w:sz w:val="13"/>
              </w:rPr>
              <w:t>77,6</w:t>
            </w:r>
          </w:p>
        </w:tc>
        <w:tc>
          <w:tcPr>
            <w:tcW w:w="720" w:type="dxa"/>
            <w:shd w:val="clear" w:color="auto" w:fill="F7F7F7"/>
            <w:tcMar>
              <w:top w:w="20" w:type="dxa"/>
              <w:left w:w="35" w:type="dxa"/>
              <w:bottom w:w="20" w:type="dxa"/>
              <w:right w:w="35" w:type="dxa"/>
            </w:tcMar>
            <w:vAlign w:val="center"/>
          </w:tcPr>
          <w:p w14:paraId="543B6D19" w14:textId="77777777" w:rsidR="00843C23" w:rsidRPr="00BA4F7F" w:rsidRDefault="00000000">
            <w:pPr>
              <w:spacing w:after="0" w:line="221" w:lineRule="auto"/>
              <w:jc w:val="center"/>
            </w:pPr>
            <w:r w:rsidRPr="00BA4F7F">
              <w:rPr>
                <w:sz w:val="13"/>
              </w:rPr>
              <w:t>77,5</w:t>
            </w:r>
          </w:p>
        </w:tc>
        <w:tc>
          <w:tcPr>
            <w:tcW w:w="720" w:type="dxa"/>
            <w:shd w:val="clear" w:color="auto" w:fill="F7F7F7"/>
            <w:tcMar>
              <w:top w:w="20" w:type="dxa"/>
              <w:left w:w="35" w:type="dxa"/>
              <w:bottom w:w="20" w:type="dxa"/>
              <w:right w:w="35" w:type="dxa"/>
            </w:tcMar>
            <w:vAlign w:val="center"/>
          </w:tcPr>
          <w:p w14:paraId="06D52809" w14:textId="77777777" w:rsidR="00843C23" w:rsidRPr="00BA4F7F" w:rsidRDefault="00000000">
            <w:pPr>
              <w:spacing w:after="0" w:line="221" w:lineRule="auto"/>
              <w:jc w:val="center"/>
            </w:pPr>
            <w:r w:rsidRPr="00BA4F7F">
              <w:rPr>
                <w:sz w:val="13"/>
              </w:rPr>
              <w:t>77,8</w:t>
            </w:r>
          </w:p>
        </w:tc>
        <w:tc>
          <w:tcPr>
            <w:tcW w:w="720" w:type="dxa"/>
            <w:shd w:val="clear" w:color="auto" w:fill="F7F7F7"/>
            <w:tcMar>
              <w:top w:w="20" w:type="dxa"/>
              <w:left w:w="35" w:type="dxa"/>
              <w:bottom w:w="20" w:type="dxa"/>
              <w:right w:w="35" w:type="dxa"/>
            </w:tcMar>
            <w:vAlign w:val="center"/>
          </w:tcPr>
          <w:p w14:paraId="3A6D8D7A" w14:textId="77777777" w:rsidR="00843C23" w:rsidRPr="00BA4F7F" w:rsidRDefault="00000000">
            <w:pPr>
              <w:spacing w:after="0" w:line="221" w:lineRule="auto"/>
              <w:jc w:val="center"/>
            </w:pPr>
            <w:r w:rsidRPr="00BA4F7F">
              <w:rPr>
                <w:sz w:val="13"/>
              </w:rPr>
              <w:t>78,4</w:t>
            </w:r>
          </w:p>
        </w:tc>
        <w:tc>
          <w:tcPr>
            <w:tcW w:w="720" w:type="dxa"/>
            <w:shd w:val="clear" w:color="auto" w:fill="F7F7F7"/>
            <w:tcMar>
              <w:top w:w="20" w:type="dxa"/>
              <w:left w:w="35" w:type="dxa"/>
              <w:bottom w:w="20" w:type="dxa"/>
              <w:right w:w="35" w:type="dxa"/>
            </w:tcMar>
            <w:vAlign w:val="center"/>
          </w:tcPr>
          <w:p w14:paraId="17D9619B" w14:textId="77777777" w:rsidR="00843C23" w:rsidRPr="00BA4F7F" w:rsidRDefault="00000000">
            <w:pPr>
              <w:spacing w:after="0" w:line="221" w:lineRule="auto"/>
              <w:jc w:val="center"/>
            </w:pPr>
            <w:r w:rsidRPr="00BA4F7F">
              <w:rPr>
                <w:sz w:val="13"/>
              </w:rPr>
              <w:t>72,5</w:t>
            </w:r>
          </w:p>
        </w:tc>
        <w:tc>
          <w:tcPr>
            <w:tcW w:w="720" w:type="dxa"/>
            <w:shd w:val="clear" w:color="auto" w:fill="F7F7F7"/>
            <w:tcMar>
              <w:top w:w="20" w:type="dxa"/>
              <w:left w:w="35" w:type="dxa"/>
              <w:bottom w:w="20" w:type="dxa"/>
              <w:right w:w="35" w:type="dxa"/>
            </w:tcMar>
            <w:vAlign w:val="center"/>
          </w:tcPr>
          <w:p w14:paraId="09823A73" w14:textId="77777777" w:rsidR="00843C23" w:rsidRPr="00BA4F7F" w:rsidRDefault="00000000">
            <w:pPr>
              <w:spacing w:after="0" w:line="221" w:lineRule="auto"/>
              <w:jc w:val="center"/>
            </w:pPr>
            <w:r w:rsidRPr="00BA4F7F">
              <w:rPr>
                <w:sz w:val="13"/>
              </w:rPr>
              <w:t>72,4</w:t>
            </w:r>
          </w:p>
        </w:tc>
        <w:tc>
          <w:tcPr>
            <w:tcW w:w="1008" w:type="dxa"/>
            <w:shd w:val="clear" w:color="auto" w:fill="F7F7F7"/>
            <w:tcMar>
              <w:top w:w="20" w:type="dxa"/>
              <w:left w:w="35" w:type="dxa"/>
              <w:bottom w:w="20" w:type="dxa"/>
              <w:right w:w="35" w:type="dxa"/>
            </w:tcMar>
            <w:vAlign w:val="center"/>
          </w:tcPr>
          <w:p w14:paraId="6408F7A9" w14:textId="77777777" w:rsidR="002C59F5" w:rsidRDefault="00000000">
            <w:r>
              <w:t>−5,2</w:t>
            </w:r>
          </w:p>
        </w:tc>
      </w:tr>
      <w:tr w:rsidR="00843C23" w:rsidRPr="00BA4F7F" w14:paraId="19B2AF74" w14:textId="77777777">
        <w:trPr>
          <w:cantSplit/>
          <w:trHeight w:val="410"/>
          <w:jc w:val="center"/>
        </w:trPr>
        <w:tc>
          <w:tcPr>
            <w:tcW w:w="3816" w:type="dxa"/>
            <w:tcMar>
              <w:top w:w="20" w:type="dxa"/>
              <w:left w:w="35" w:type="dxa"/>
              <w:bottom w:w="20" w:type="dxa"/>
              <w:right w:w="35" w:type="dxa"/>
            </w:tcMar>
            <w:vAlign w:val="center"/>
          </w:tcPr>
          <w:p w14:paraId="181D93E8" w14:textId="77777777" w:rsidR="00843C23" w:rsidRPr="00BA4F7F" w:rsidRDefault="00000000">
            <w:pPr>
              <w:spacing w:after="0" w:line="221" w:lineRule="auto"/>
              <w:jc w:val="left"/>
            </w:pPr>
            <w:r w:rsidRPr="00BA4F7F">
              <w:rPr>
                <w:b/>
                <w:sz w:val="13"/>
              </w:rPr>
              <w:t>Cyfryzacja</w:t>
            </w:r>
          </w:p>
        </w:tc>
        <w:tc>
          <w:tcPr>
            <w:tcW w:w="720" w:type="dxa"/>
            <w:tcMar>
              <w:top w:w="20" w:type="dxa"/>
              <w:left w:w="35" w:type="dxa"/>
              <w:bottom w:w="20" w:type="dxa"/>
              <w:right w:w="35" w:type="dxa"/>
            </w:tcMar>
            <w:vAlign w:val="center"/>
          </w:tcPr>
          <w:p w14:paraId="41BFEFEA" w14:textId="77777777" w:rsidR="00843C23" w:rsidRPr="00BA4F7F" w:rsidRDefault="00000000">
            <w:pPr>
              <w:spacing w:after="0" w:line="221" w:lineRule="auto"/>
              <w:jc w:val="center"/>
            </w:pPr>
            <w:r w:rsidRPr="00BA4F7F">
              <w:rPr>
                <w:sz w:val="13"/>
              </w:rPr>
              <w:t>75,5</w:t>
            </w:r>
          </w:p>
        </w:tc>
        <w:tc>
          <w:tcPr>
            <w:tcW w:w="720" w:type="dxa"/>
            <w:tcMar>
              <w:top w:w="20" w:type="dxa"/>
              <w:left w:w="35" w:type="dxa"/>
              <w:bottom w:w="20" w:type="dxa"/>
              <w:right w:w="35" w:type="dxa"/>
            </w:tcMar>
            <w:vAlign w:val="center"/>
          </w:tcPr>
          <w:p w14:paraId="7B63CC88" w14:textId="77777777" w:rsidR="00843C23" w:rsidRPr="00BA4F7F" w:rsidRDefault="00000000">
            <w:pPr>
              <w:spacing w:after="0" w:line="221" w:lineRule="auto"/>
              <w:jc w:val="center"/>
            </w:pPr>
            <w:r w:rsidRPr="00BA4F7F">
              <w:rPr>
                <w:sz w:val="13"/>
              </w:rPr>
              <w:t>69,0</w:t>
            </w:r>
          </w:p>
        </w:tc>
        <w:tc>
          <w:tcPr>
            <w:tcW w:w="720" w:type="dxa"/>
            <w:tcMar>
              <w:top w:w="20" w:type="dxa"/>
              <w:left w:w="35" w:type="dxa"/>
              <w:bottom w:w="20" w:type="dxa"/>
              <w:right w:w="35" w:type="dxa"/>
            </w:tcMar>
            <w:vAlign w:val="center"/>
          </w:tcPr>
          <w:p w14:paraId="3EAA6628" w14:textId="77777777" w:rsidR="00843C23" w:rsidRPr="00BA4F7F" w:rsidRDefault="00000000">
            <w:pPr>
              <w:spacing w:after="0" w:line="221" w:lineRule="auto"/>
              <w:jc w:val="center"/>
            </w:pPr>
            <w:r w:rsidRPr="00BA4F7F">
              <w:rPr>
                <w:sz w:val="13"/>
              </w:rPr>
              <w:t>69,0</w:t>
            </w:r>
          </w:p>
        </w:tc>
        <w:tc>
          <w:tcPr>
            <w:tcW w:w="720" w:type="dxa"/>
            <w:tcMar>
              <w:top w:w="20" w:type="dxa"/>
              <w:left w:w="35" w:type="dxa"/>
              <w:bottom w:w="20" w:type="dxa"/>
              <w:right w:w="35" w:type="dxa"/>
            </w:tcMar>
            <w:vAlign w:val="center"/>
          </w:tcPr>
          <w:p w14:paraId="2A1DE3F9" w14:textId="77777777" w:rsidR="00843C23" w:rsidRPr="00BA4F7F" w:rsidRDefault="00000000">
            <w:pPr>
              <w:spacing w:after="0" w:line="221" w:lineRule="auto"/>
              <w:jc w:val="center"/>
            </w:pPr>
            <w:r>
              <w:rPr>
                <w:sz w:val="13"/>
              </w:rPr>
              <w:t>66,2</w:t>
            </w:r>
          </w:p>
        </w:tc>
        <w:tc>
          <w:tcPr>
            <w:tcW w:w="720" w:type="dxa"/>
            <w:tcMar>
              <w:top w:w="20" w:type="dxa"/>
              <w:left w:w="35" w:type="dxa"/>
              <w:bottom w:w="20" w:type="dxa"/>
              <w:right w:w="35" w:type="dxa"/>
            </w:tcMar>
            <w:vAlign w:val="center"/>
          </w:tcPr>
          <w:p w14:paraId="57BFA052" w14:textId="77777777" w:rsidR="00843C23" w:rsidRPr="00BA4F7F" w:rsidRDefault="00000000">
            <w:pPr>
              <w:spacing w:after="0" w:line="221" w:lineRule="auto"/>
              <w:jc w:val="center"/>
            </w:pPr>
            <w:r>
              <w:rPr>
                <w:sz w:val="13"/>
              </w:rPr>
              <w:t>62,2</w:t>
            </w:r>
          </w:p>
        </w:tc>
        <w:tc>
          <w:tcPr>
            <w:tcW w:w="720" w:type="dxa"/>
            <w:tcMar>
              <w:top w:w="20" w:type="dxa"/>
              <w:left w:w="35" w:type="dxa"/>
              <w:bottom w:w="20" w:type="dxa"/>
              <w:right w:w="35" w:type="dxa"/>
            </w:tcMar>
            <w:vAlign w:val="center"/>
          </w:tcPr>
          <w:p w14:paraId="6D7653F6" w14:textId="77777777" w:rsidR="00843C23" w:rsidRPr="00BA4F7F" w:rsidRDefault="00000000">
            <w:pPr>
              <w:spacing w:after="0" w:line="221" w:lineRule="auto"/>
              <w:jc w:val="center"/>
            </w:pPr>
            <w:r w:rsidRPr="00BA4F7F">
              <w:rPr>
                <w:sz w:val="13"/>
              </w:rPr>
              <w:t>65,5</w:t>
            </w:r>
          </w:p>
        </w:tc>
        <w:tc>
          <w:tcPr>
            <w:tcW w:w="1008" w:type="dxa"/>
            <w:tcMar>
              <w:top w:w="20" w:type="dxa"/>
              <w:left w:w="35" w:type="dxa"/>
              <w:bottom w:w="20" w:type="dxa"/>
              <w:right w:w="35" w:type="dxa"/>
            </w:tcMar>
            <w:vAlign w:val="center"/>
          </w:tcPr>
          <w:p w14:paraId="6F7FECF7" w14:textId="77777777" w:rsidR="002C59F5" w:rsidRDefault="00000000">
            <w:r>
              <w:t>−10,0</w:t>
            </w:r>
          </w:p>
        </w:tc>
      </w:tr>
      <w:tr w:rsidR="00843C23" w:rsidRPr="00BA4F7F" w14:paraId="10C550A2" w14:textId="77777777">
        <w:trPr>
          <w:cantSplit/>
          <w:trHeight w:val="410"/>
          <w:jc w:val="center"/>
        </w:trPr>
        <w:tc>
          <w:tcPr>
            <w:tcW w:w="3816" w:type="dxa"/>
            <w:shd w:val="clear" w:color="auto" w:fill="F7F7F7"/>
            <w:tcMar>
              <w:top w:w="20" w:type="dxa"/>
              <w:left w:w="35" w:type="dxa"/>
              <w:bottom w:w="20" w:type="dxa"/>
              <w:right w:w="35" w:type="dxa"/>
            </w:tcMar>
            <w:vAlign w:val="center"/>
          </w:tcPr>
          <w:p w14:paraId="7701A205" w14:textId="77777777" w:rsidR="00843C23" w:rsidRPr="00BA4F7F" w:rsidRDefault="00000000">
            <w:pPr>
              <w:spacing w:after="0" w:line="221" w:lineRule="auto"/>
              <w:jc w:val="left"/>
            </w:pPr>
            <w:r w:rsidRPr="00BA4F7F">
              <w:rPr>
                <w:b/>
                <w:sz w:val="13"/>
              </w:rPr>
              <w:t>Modernizacja obronna i przemysł obronny</w:t>
            </w:r>
          </w:p>
        </w:tc>
        <w:tc>
          <w:tcPr>
            <w:tcW w:w="720" w:type="dxa"/>
            <w:shd w:val="clear" w:color="auto" w:fill="F7F7F7"/>
            <w:tcMar>
              <w:top w:w="20" w:type="dxa"/>
              <w:left w:w="35" w:type="dxa"/>
              <w:bottom w:w="20" w:type="dxa"/>
              <w:right w:w="35" w:type="dxa"/>
            </w:tcMar>
            <w:vAlign w:val="center"/>
          </w:tcPr>
          <w:p w14:paraId="14B19274" w14:textId="77777777" w:rsidR="00843C23" w:rsidRPr="00BA4F7F" w:rsidRDefault="00000000">
            <w:pPr>
              <w:spacing w:after="0" w:line="221" w:lineRule="auto"/>
              <w:jc w:val="center"/>
            </w:pPr>
            <w:r w:rsidRPr="00BA4F7F">
              <w:rPr>
                <w:sz w:val="13"/>
              </w:rPr>
              <w:t>82,5</w:t>
            </w:r>
          </w:p>
        </w:tc>
        <w:tc>
          <w:tcPr>
            <w:tcW w:w="720" w:type="dxa"/>
            <w:shd w:val="clear" w:color="auto" w:fill="F7F7F7"/>
            <w:tcMar>
              <w:top w:w="20" w:type="dxa"/>
              <w:left w:w="35" w:type="dxa"/>
              <w:bottom w:w="20" w:type="dxa"/>
              <w:right w:w="35" w:type="dxa"/>
            </w:tcMar>
            <w:vAlign w:val="center"/>
          </w:tcPr>
          <w:p w14:paraId="7B4C30B2" w14:textId="77777777" w:rsidR="00843C23" w:rsidRPr="00BA4F7F" w:rsidRDefault="00000000">
            <w:pPr>
              <w:spacing w:after="0" w:line="221" w:lineRule="auto"/>
              <w:jc w:val="center"/>
            </w:pPr>
            <w:r w:rsidRPr="00BA4F7F">
              <w:rPr>
                <w:sz w:val="13"/>
              </w:rPr>
              <w:t>84,0</w:t>
            </w:r>
          </w:p>
        </w:tc>
        <w:tc>
          <w:tcPr>
            <w:tcW w:w="720" w:type="dxa"/>
            <w:shd w:val="clear" w:color="auto" w:fill="F7F7F7"/>
            <w:tcMar>
              <w:top w:w="20" w:type="dxa"/>
              <w:left w:w="35" w:type="dxa"/>
              <w:bottom w:w="20" w:type="dxa"/>
              <w:right w:w="35" w:type="dxa"/>
            </w:tcMar>
            <w:vAlign w:val="center"/>
          </w:tcPr>
          <w:p w14:paraId="34F52496" w14:textId="77777777" w:rsidR="00843C23" w:rsidRPr="00BA4F7F" w:rsidRDefault="00000000">
            <w:pPr>
              <w:spacing w:after="0" w:line="221" w:lineRule="auto"/>
              <w:jc w:val="center"/>
            </w:pPr>
            <w:r w:rsidRPr="00BA4F7F">
              <w:rPr>
                <w:sz w:val="13"/>
              </w:rPr>
              <w:t>89,5</w:t>
            </w:r>
          </w:p>
        </w:tc>
        <w:tc>
          <w:tcPr>
            <w:tcW w:w="720" w:type="dxa"/>
            <w:shd w:val="clear" w:color="auto" w:fill="F7F7F7"/>
            <w:tcMar>
              <w:top w:w="20" w:type="dxa"/>
              <w:left w:w="35" w:type="dxa"/>
              <w:bottom w:w="20" w:type="dxa"/>
              <w:right w:w="35" w:type="dxa"/>
            </w:tcMar>
            <w:vAlign w:val="center"/>
          </w:tcPr>
          <w:p w14:paraId="3B895526" w14:textId="77777777" w:rsidR="00843C23" w:rsidRPr="00BA4F7F" w:rsidRDefault="00000000">
            <w:pPr>
              <w:spacing w:after="0" w:line="221" w:lineRule="auto"/>
              <w:jc w:val="center"/>
            </w:pPr>
            <w:r w:rsidRPr="00BA4F7F">
              <w:rPr>
                <w:sz w:val="13"/>
              </w:rPr>
              <w:t>91,2</w:t>
            </w:r>
          </w:p>
        </w:tc>
        <w:tc>
          <w:tcPr>
            <w:tcW w:w="720" w:type="dxa"/>
            <w:shd w:val="clear" w:color="auto" w:fill="F7F7F7"/>
            <w:tcMar>
              <w:top w:w="20" w:type="dxa"/>
              <w:left w:w="35" w:type="dxa"/>
              <w:bottom w:w="20" w:type="dxa"/>
              <w:right w:w="35" w:type="dxa"/>
            </w:tcMar>
            <w:vAlign w:val="center"/>
          </w:tcPr>
          <w:p w14:paraId="1E9477A9" w14:textId="77777777" w:rsidR="00843C23" w:rsidRPr="00BA4F7F" w:rsidRDefault="00000000">
            <w:pPr>
              <w:spacing w:after="0" w:line="221" w:lineRule="auto"/>
              <w:jc w:val="center"/>
            </w:pPr>
            <w:r w:rsidRPr="00BA4F7F">
              <w:rPr>
                <w:sz w:val="13"/>
              </w:rPr>
              <w:t>86,5</w:t>
            </w:r>
          </w:p>
        </w:tc>
        <w:tc>
          <w:tcPr>
            <w:tcW w:w="720" w:type="dxa"/>
            <w:shd w:val="clear" w:color="auto" w:fill="F7F7F7"/>
            <w:tcMar>
              <w:top w:w="20" w:type="dxa"/>
              <w:left w:w="35" w:type="dxa"/>
              <w:bottom w:w="20" w:type="dxa"/>
              <w:right w:w="35" w:type="dxa"/>
            </w:tcMar>
            <w:vAlign w:val="center"/>
          </w:tcPr>
          <w:p w14:paraId="40BF549A" w14:textId="77777777" w:rsidR="00843C23" w:rsidRPr="00BA4F7F" w:rsidRDefault="00000000">
            <w:pPr>
              <w:spacing w:after="0" w:line="221" w:lineRule="auto"/>
              <w:jc w:val="center"/>
            </w:pPr>
            <w:r w:rsidRPr="00BA4F7F">
              <w:rPr>
                <w:sz w:val="13"/>
              </w:rPr>
              <w:t>88,1</w:t>
            </w:r>
          </w:p>
        </w:tc>
        <w:tc>
          <w:tcPr>
            <w:tcW w:w="1008" w:type="dxa"/>
            <w:shd w:val="clear" w:color="auto" w:fill="F7F7F7"/>
            <w:tcMar>
              <w:top w:w="20" w:type="dxa"/>
              <w:left w:w="35" w:type="dxa"/>
              <w:bottom w:w="20" w:type="dxa"/>
              <w:right w:w="35" w:type="dxa"/>
            </w:tcMar>
            <w:vAlign w:val="center"/>
          </w:tcPr>
          <w:p w14:paraId="071D795B" w14:textId="77777777" w:rsidR="00843C23" w:rsidRPr="00BA4F7F" w:rsidRDefault="00000000">
            <w:pPr>
              <w:spacing w:after="0" w:line="221" w:lineRule="auto"/>
              <w:jc w:val="center"/>
            </w:pPr>
            <w:r w:rsidRPr="00BA4F7F">
              <w:rPr>
                <w:sz w:val="13"/>
              </w:rPr>
              <w:t>+5,6</w:t>
            </w:r>
          </w:p>
        </w:tc>
      </w:tr>
      <w:tr w:rsidR="00843C23" w:rsidRPr="00BA4F7F" w14:paraId="723EDE64" w14:textId="77777777">
        <w:trPr>
          <w:cantSplit/>
          <w:trHeight w:val="410"/>
          <w:jc w:val="center"/>
        </w:trPr>
        <w:tc>
          <w:tcPr>
            <w:tcW w:w="3816" w:type="dxa"/>
            <w:tcMar>
              <w:top w:w="20" w:type="dxa"/>
              <w:left w:w="35" w:type="dxa"/>
              <w:bottom w:w="20" w:type="dxa"/>
              <w:right w:w="35" w:type="dxa"/>
            </w:tcMar>
            <w:vAlign w:val="center"/>
          </w:tcPr>
          <w:p w14:paraId="7CB30FA5" w14:textId="77777777" w:rsidR="00843C23" w:rsidRPr="00BA4F7F" w:rsidRDefault="00000000">
            <w:pPr>
              <w:spacing w:after="0" w:line="221" w:lineRule="auto"/>
              <w:jc w:val="left"/>
            </w:pPr>
            <w:r w:rsidRPr="00BA4F7F">
              <w:rPr>
                <w:b/>
                <w:sz w:val="13"/>
              </w:rPr>
              <w:t>Ciągłość konstytucyjna</w:t>
            </w:r>
          </w:p>
        </w:tc>
        <w:tc>
          <w:tcPr>
            <w:tcW w:w="720" w:type="dxa"/>
            <w:tcMar>
              <w:top w:w="20" w:type="dxa"/>
              <w:left w:w="35" w:type="dxa"/>
              <w:bottom w:w="20" w:type="dxa"/>
              <w:right w:w="35" w:type="dxa"/>
            </w:tcMar>
            <w:vAlign w:val="center"/>
          </w:tcPr>
          <w:p w14:paraId="7C6C2101" w14:textId="77777777" w:rsidR="00843C23" w:rsidRPr="00BA4F7F" w:rsidRDefault="00000000">
            <w:pPr>
              <w:spacing w:after="0" w:line="221" w:lineRule="auto"/>
              <w:jc w:val="center"/>
            </w:pPr>
            <w:r w:rsidRPr="00BA4F7F">
              <w:rPr>
                <w:sz w:val="13"/>
              </w:rPr>
              <w:t>35,0</w:t>
            </w:r>
          </w:p>
        </w:tc>
        <w:tc>
          <w:tcPr>
            <w:tcW w:w="720" w:type="dxa"/>
            <w:tcMar>
              <w:top w:w="20" w:type="dxa"/>
              <w:left w:w="35" w:type="dxa"/>
              <w:bottom w:w="20" w:type="dxa"/>
              <w:right w:w="35" w:type="dxa"/>
            </w:tcMar>
            <w:vAlign w:val="center"/>
          </w:tcPr>
          <w:p w14:paraId="5B3B0B23" w14:textId="77777777" w:rsidR="00843C23" w:rsidRPr="00BA4F7F" w:rsidRDefault="00000000">
            <w:pPr>
              <w:spacing w:after="0" w:line="221" w:lineRule="auto"/>
              <w:jc w:val="center"/>
            </w:pPr>
            <w:r w:rsidRPr="00BA4F7F">
              <w:rPr>
                <w:sz w:val="13"/>
              </w:rPr>
              <w:t>31,7</w:t>
            </w:r>
          </w:p>
        </w:tc>
        <w:tc>
          <w:tcPr>
            <w:tcW w:w="720" w:type="dxa"/>
            <w:tcMar>
              <w:top w:w="20" w:type="dxa"/>
              <w:left w:w="35" w:type="dxa"/>
              <w:bottom w:w="20" w:type="dxa"/>
              <w:right w:w="35" w:type="dxa"/>
            </w:tcMar>
            <w:vAlign w:val="center"/>
          </w:tcPr>
          <w:p w14:paraId="03272D96" w14:textId="77777777" w:rsidR="00843C23" w:rsidRPr="00BA4F7F" w:rsidRDefault="00000000">
            <w:pPr>
              <w:spacing w:after="0" w:line="221" w:lineRule="auto"/>
              <w:jc w:val="center"/>
            </w:pPr>
            <w:r w:rsidRPr="00BA4F7F">
              <w:rPr>
                <w:sz w:val="13"/>
              </w:rPr>
              <w:t>33,3</w:t>
            </w:r>
          </w:p>
        </w:tc>
        <w:tc>
          <w:tcPr>
            <w:tcW w:w="720" w:type="dxa"/>
            <w:tcMar>
              <w:top w:w="20" w:type="dxa"/>
              <w:left w:w="35" w:type="dxa"/>
              <w:bottom w:w="20" w:type="dxa"/>
              <w:right w:w="35" w:type="dxa"/>
            </w:tcMar>
            <w:vAlign w:val="center"/>
          </w:tcPr>
          <w:p w14:paraId="110C8E3D" w14:textId="77777777" w:rsidR="00843C23" w:rsidRPr="00BA4F7F" w:rsidRDefault="00000000">
            <w:pPr>
              <w:spacing w:after="0" w:line="221" w:lineRule="auto"/>
              <w:jc w:val="center"/>
            </w:pPr>
            <w:r w:rsidRPr="00BA4F7F">
              <w:rPr>
                <w:sz w:val="13"/>
              </w:rPr>
              <w:t>28,3</w:t>
            </w:r>
          </w:p>
        </w:tc>
        <w:tc>
          <w:tcPr>
            <w:tcW w:w="720" w:type="dxa"/>
            <w:tcMar>
              <w:top w:w="20" w:type="dxa"/>
              <w:left w:w="35" w:type="dxa"/>
              <w:bottom w:w="20" w:type="dxa"/>
              <w:right w:w="35" w:type="dxa"/>
            </w:tcMar>
            <w:vAlign w:val="center"/>
          </w:tcPr>
          <w:p w14:paraId="29B97D3A" w14:textId="77777777" w:rsidR="00843C23" w:rsidRPr="00BA4F7F" w:rsidRDefault="00000000">
            <w:pPr>
              <w:spacing w:after="0" w:line="221" w:lineRule="auto"/>
              <w:jc w:val="center"/>
            </w:pPr>
            <w:r w:rsidRPr="00BA4F7F">
              <w:rPr>
                <w:sz w:val="13"/>
              </w:rPr>
              <w:t>16,7</w:t>
            </w:r>
          </w:p>
        </w:tc>
        <w:tc>
          <w:tcPr>
            <w:tcW w:w="720" w:type="dxa"/>
            <w:tcMar>
              <w:top w:w="20" w:type="dxa"/>
              <w:left w:w="35" w:type="dxa"/>
              <w:bottom w:w="20" w:type="dxa"/>
              <w:right w:w="35" w:type="dxa"/>
            </w:tcMar>
            <w:vAlign w:val="center"/>
          </w:tcPr>
          <w:p w14:paraId="4C05D3FD" w14:textId="77777777" w:rsidR="00843C23" w:rsidRPr="00BA4F7F" w:rsidRDefault="00000000">
            <w:pPr>
              <w:spacing w:after="0" w:line="221" w:lineRule="auto"/>
              <w:jc w:val="center"/>
            </w:pPr>
            <w:r w:rsidRPr="00BA4F7F">
              <w:rPr>
                <w:sz w:val="13"/>
              </w:rPr>
              <w:t>16,7</w:t>
            </w:r>
          </w:p>
        </w:tc>
        <w:tc>
          <w:tcPr>
            <w:tcW w:w="1008" w:type="dxa"/>
            <w:tcMar>
              <w:top w:w="20" w:type="dxa"/>
              <w:left w:w="35" w:type="dxa"/>
              <w:bottom w:w="20" w:type="dxa"/>
              <w:right w:w="35" w:type="dxa"/>
            </w:tcMar>
            <w:vAlign w:val="center"/>
          </w:tcPr>
          <w:p w14:paraId="16A27A69" w14:textId="77777777" w:rsidR="002C59F5" w:rsidRDefault="00000000">
            <w:r>
              <w:t>−18,3</w:t>
            </w:r>
          </w:p>
        </w:tc>
      </w:tr>
      <w:tr w:rsidR="00843C23" w:rsidRPr="00BA4F7F" w14:paraId="04B517E0" w14:textId="77777777">
        <w:trPr>
          <w:cantSplit/>
          <w:trHeight w:val="410"/>
          <w:jc w:val="center"/>
        </w:trPr>
        <w:tc>
          <w:tcPr>
            <w:tcW w:w="3816" w:type="dxa"/>
            <w:shd w:val="clear" w:color="auto" w:fill="F7F7F7"/>
            <w:tcMar>
              <w:top w:w="20" w:type="dxa"/>
              <w:left w:w="35" w:type="dxa"/>
              <w:bottom w:w="20" w:type="dxa"/>
              <w:right w:w="35" w:type="dxa"/>
            </w:tcMar>
            <w:vAlign w:val="center"/>
          </w:tcPr>
          <w:p w14:paraId="70E690C5" w14:textId="77777777" w:rsidR="00843C23" w:rsidRPr="00BA4F7F" w:rsidRDefault="00000000">
            <w:pPr>
              <w:spacing w:after="0" w:line="221" w:lineRule="auto"/>
              <w:jc w:val="left"/>
            </w:pPr>
            <w:r w:rsidRPr="00BA4F7F">
              <w:rPr>
                <w:b/>
                <w:sz w:val="13"/>
              </w:rPr>
              <w:t>Sprawność instytucjonalna</w:t>
            </w:r>
          </w:p>
        </w:tc>
        <w:tc>
          <w:tcPr>
            <w:tcW w:w="720" w:type="dxa"/>
            <w:shd w:val="clear" w:color="auto" w:fill="F7F7F7"/>
            <w:tcMar>
              <w:top w:w="20" w:type="dxa"/>
              <w:left w:w="35" w:type="dxa"/>
              <w:bottom w:w="20" w:type="dxa"/>
              <w:right w:w="35" w:type="dxa"/>
            </w:tcMar>
            <w:vAlign w:val="center"/>
          </w:tcPr>
          <w:p w14:paraId="584CCBE1" w14:textId="77777777" w:rsidR="00843C23" w:rsidRPr="00BA4F7F" w:rsidRDefault="00000000">
            <w:pPr>
              <w:spacing w:after="0" w:line="221" w:lineRule="auto"/>
              <w:jc w:val="center"/>
            </w:pPr>
            <w:r w:rsidRPr="00BA4F7F">
              <w:rPr>
                <w:sz w:val="13"/>
              </w:rPr>
              <w:t>60,0</w:t>
            </w:r>
          </w:p>
        </w:tc>
        <w:tc>
          <w:tcPr>
            <w:tcW w:w="720" w:type="dxa"/>
            <w:shd w:val="clear" w:color="auto" w:fill="F7F7F7"/>
            <w:tcMar>
              <w:top w:w="20" w:type="dxa"/>
              <w:left w:w="35" w:type="dxa"/>
              <w:bottom w:w="20" w:type="dxa"/>
              <w:right w:w="35" w:type="dxa"/>
            </w:tcMar>
            <w:vAlign w:val="center"/>
          </w:tcPr>
          <w:p w14:paraId="15364963" w14:textId="77777777" w:rsidR="00843C23" w:rsidRPr="00BA4F7F" w:rsidRDefault="00000000">
            <w:pPr>
              <w:spacing w:after="0" w:line="221" w:lineRule="auto"/>
              <w:jc w:val="center"/>
            </w:pPr>
            <w:r w:rsidRPr="00BA4F7F">
              <w:rPr>
                <w:sz w:val="13"/>
              </w:rPr>
              <w:t>48,3</w:t>
            </w:r>
          </w:p>
        </w:tc>
        <w:tc>
          <w:tcPr>
            <w:tcW w:w="720" w:type="dxa"/>
            <w:shd w:val="clear" w:color="auto" w:fill="F7F7F7"/>
            <w:tcMar>
              <w:top w:w="20" w:type="dxa"/>
              <w:left w:w="35" w:type="dxa"/>
              <w:bottom w:w="20" w:type="dxa"/>
              <w:right w:w="35" w:type="dxa"/>
            </w:tcMar>
            <w:vAlign w:val="center"/>
          </w:tcPr>
          <w:p w14:paraId="5EAA1BDA" w14:textId="77777777" w:rsidR="00843C23" w:rsidRPr="00BA4F7F" w:rsidRDefault="00000000">
            <w:pPr>
              <w:spacing w:after="0" w:line="221" w:lineRule="auto"/>
              <w:jc w:val="center"/>
            </w:pPr>
            <w:r w:rsidRPr="00BA4F7F">
              <w:rPr>
                <w:sz w:val="13"/>
              </w:rPr>
              <w:t>66,7</w:t>
            </w:r>
          </w:p>
        </w:tc>
        <w:tc>
          <w:tcPr>
            <w:tcW w:w="720" w:type="dxa"/>
            <w:shd w:val="clear" w:color="auto" w:fill="F7F7F7"/>
            <w:tcMar>
              <w:top w:w="20" w:type="dxa"/>
              <w:left w:w="35" w:type="dxa"/>
              <w:bottom w:w="20" w:type="dxa"/>
              <w:right w:w="35" w:type="dxa"/>
            </w:tcMar>
            <w:vAlign w:val="center"/>
          </w:tcPr>
          <w:p w14:paraId="3EFB5F93" w14:textId="77777777" w:rsidR="00843C23" w:rsidRPr="00BA4F7F" w:rsidRDefault="00000000">
            <w:pPr>
              <w:spacing w:after="0" w:line="221" w:lineRule="auto"/>
              <w:jc w:val="center"/>
            </w:pPr>
            <w:r w:rsidRPr="00BA4F7F">
              <w:rPr>
                <w:sz w:val="13"/>
              </w:rPr>
              <w:t>45,0</w:t>
            </w:r>
          </w:p>
        </w:tc>
        <w:tc>
          <w:tcPr>
            <w:tcW w:w="720" w:type="dxa"/>
            <w:shd w:val="clear" w:color="auto" w:fill="F7F7F7"/>
            <w:tcMar>
              <w:top w:w="20" w:type="dxa"/>
              <w:left w:w="35" w:type="dxa"/>
              <w:bottom w:w="20" w:type="dxa"/>
              <w:right w:w="35" w:type="dxa"/>
            </w:tcMar>
            <w:vAlign w:val="center"/>
          </w:tcPr>
          <w:p w14:paraId="4C8E5B06" w14:textId="77777777" w:rsidR="00843C23" w:rsidRPr="00BA4F7F" w:rsidRDefault="00000000">
            <w:pPr>
              <w:spacing w:after="0" w:line="221" w:lineRule="auto"/>
              <w:jc w:val="center"/>
            </w:pPr>
            <w:r w:rsidRPr="00BA4F7F">
              <w:rPr>
                <w:sz w:val="13"/>
              </w:rPr>
              <w:t>40,0</w:t>
            </w:r>
          </w:p>
        </w:tc>
        <w:tc>
          <w:tcPr>
            <w:tcW w:w="720" w:type="dxa"/>
            <w:shd w:val="clear" w:color="auto" w:fill="F7F7F7"/>
            <w:tcMar>
              <w:top w:w="20" w:type="dxa"/>
              <w:left w:w="35" w:type="dxa"/>
              <w:bottom w:w="20" w:type="dxa"/>
              <w:right w:w="35" w:type="dxa"/>
            </w:tcMar>
            <w:vAlign w:val="center"/>
          </w:tcPr>
          <w:p w14:paraId="0C46E01B" w14:textId="77777777" w:rsidR="00843C23" w:rsidRPr="00BA4F7F" w:rsidRDefault="00000000">
            <w:pPr>
              <w:spacing w:after="0" w:line="221" w:lineRule="auto"/>
              <w:jc w:val="center"/>
            </w:pPr>
            <w:r w:rsidRPr="00BA4F7F">
              <w:rPr>
                <w:sz w:val="13"/>
              </w:rPr>
              <w:t>43,3</w:t>
            </w:r>
          </w:p>
        </w:tc>
        <w:tc>
          <w:tcPr>
            <w:tcW w:w="1008" w:type="dxa"/>
            <w:shd w:val="clear" w:color="auto" w:fill="F7F7F7"/>
            <w:tcMar>
              <w:top w:w="20" w:type="dxa"/>
              <w:left w:w="35" w:type="dxa"/>
              <w:bottom w:w="20" w:type="dxa"/>
              <w:right w:w="35" w:type="dxa"/>
            </w:tcMar>
            <w:vAlign w:val="center"/>
          </w:tcPr>
          <w:p w14:paraId="16102701" w14:textId="77777777" w:rsidR="002C59F5" w:rsidRDefault="00000000">
            <w:r>
              <w:t>−16,7</w:t>
            </w:r>
          </w:p>
        </w:tc>
      </w:tr>
      <w:tr w:rsidR="00843C23" w:rsidRPr="00BA4F7F" w14:paraId="3EF33A7C" w14:textId="77777777">
        <w:trPr>
          <w:cantSplit/>
          <w:trHeight w:val="410"/>
          <w:jc w:val="center"/>
        </w:trPr>
        <w:tc>
          <w:tcPr>
            <w:tcW w:w="3816" w:type="dxa"/>
            <w:tcMar>
              <w:top w:w="20" w:type="dxa"/>
              <w:left w:w="35" w:type="dxa"/>
              <w:bottom w:w="20" w:type="dxa"/>
              <w:right w:w="35" w:type="dxa"/>
            </w:tcMar>
            <w:vAlign w:val="center"/>
          </w:tcPr>
          <w:p w14:paraId="32619CEE" w14:textId="77777777" w:rsidR="00843C23" w:rsidRPr="00BA4F7F" w:rsidRDefault="00000000">
            <w:pPr>
              <w:spacing w:after="0" w:line="221" w:lineRule="auto"/>
              <w:jc w:val="left"/>
            </w:pPr>
            <w:r w:rsidRPr="00BA4F7F">
              <w:rPr>
                <w:b/>
                <w:sz w:val="13"/>
              </w:rPr>
              <w:t>Stabilność i egzekwowalność prawa</w:t>
            </w:r>
          </w:p>
        </w:tc>
        <w:tc>
          <w:tcPr>
            <w:tcW w:w="720" w:type="dxa"/>
            <w:tcMar>
              <w:top w:w="20" w:type="dxa"/>
              <w:left w:w="35" w:type="dxa"/>
              <w:bottom w:w="20" w:type="dxa"/>
              <w:right w:w="35" w:type="dxa"/>
            </w:tcMar>
            <w:vAlign w:val="center"/>
          </w:tcPr>
          <w:p w14:paraId="65CE24E9" w14:textId="77777777" w:rsidR="00843C23" w:rsidRPr="00BA4F7F" w:rsidRDefault="00000000">
            <w:pPr>
              <w:spacing w:after="0" w:line="221" w:lineRule="auto"/>
              <w:jc w:val="center"/>
            </w:pPr>
            <w:r w:rsidRPr="00BA4F7F">
              <w:rPr>
                <w:sz w:val="13"/>
              </w:rPr>
              <w:t>43,3</w:t>
            </w:r>
          </w:p>
        </w:tc>
        <w:tc>
          <w:tcPr>
            <w:tcW w:w="720" w:type="dxa"/>
            <w:tcMar>
              <w:top w:w="20" w:type="dxa"/>
              <w:left w:w="35" w:type="dxa"/>
              <w:bottom w:w="20" w:type="dxa"/>
              <w:right w:w="35" w:type="dxa"/>
            </w:tcMar>
            <w:vAlign w:val="center"/>
          </w:tcPr>
          <w:p w14:paraId="306ADF4E" w14:textId="77777777" w:rsidR="00843C23" w:rsidRPr="00BA4F7F" w:rsidRDefault="00000000">
            <w:pPr>
              <w:spacing w:after="0" w:line="221" w:lineRule="auto"/>
              <w:jc w:val="center"/>
            </w:pPr>
            <w:r w:rsidRPr="00BA4F7F">
              <w:rPr>
                <w:sz w:val="13"/>
              </w:rPr>
              <w:t>40,0</w:t>
            </w:r>
          </w:p>
        </w:tc>
        <w:tc>
          <w:tcPr>
            <w:tcW w:w="720" w:type="dxa"/>
            <w:tcMar>
              <w:top w:w="20" w:type="dxa"/>
              <w:left w:w="35" w:type="dxa"/>
              <w:bottom w:w="20" w:type="dxa"/>
              <w:right w:w="35" w:type="dxa"/>
            </w:tcMar>
            <w:vAlign w:val="center"/>
          </w:tcPr>
          <w:p w14:paraId="0F0572F4" w14:textId="77777777" w:rsidR="00843C23" w:rsidRPr="00BA4F7F" w:rsidRDefault="00000000">
            <w:pPr>
              <w:spacing w:after="0" w:line="221" w:lineRule="auto"/>
              <w:jc w:val="center"/>
            </w:pPr>
            <w:r w:rsidRPr="00BA4F7F">
              <w:rPr>
                <w:sz w:val="13"/>
              </w:rPr>
              <w:t>35,0</w:t>
            </w:r>
          </w:p>
        </w:tc>
        <w:tc>
          <w:tcPr>
            <w:tcW w:w="720" w:type="dxa"/>
            <w:tcMar>
              <w:top w:w="20" w:type="dxa"/>
              <w:left w:w="35" w:type="dxa"/>
              <w:bottom w:w="20" w:type="dxa"/>
              <w:right w:w="35" w:type="dxa"/>
            </w:tcMar>
            <w:vAlign w:val="center"/>
          </w:tcPr>
          <w:p w14:paraId="5F17B648" w14:textId="77777777" w:rsidR="00843C23" w:rsidRPr="00BA4F7F" w:rsidRDefault="00000000">
            <w:pPr>
              <w:spacing w:after="0" w:line="221" w:lineRule="auto"/>
              <w:jc w:val="center"/>
            </w:pPr>
            <w:r w:rsidRPr="00BA4F7F">
              <w:rPr>
                <w:sz w:val="13"/>
              </w:rPr>
              <w:t>36,7</w:t>
            </w:r>
          </w:p>
        </w:tc>
        <w:tc>
          <w:tcPr>
            <w:tcW w:w="720" w:type="dxa"/>
            <w:tcMar>
              <w:top w:w="20" w:type="dxa"/>
              <w:left w:w="35" w:type="dxa"/>
              <w:bottom w:w="20" w:type="dxa"/>
              <w:right w:w="35" w:type="dxa"/>
            </w:tcMar>
            <w:vAlign w:val="center"/>
          </w:tcPr>
          <w:p w14:paraId="2BB8D87A" w14:textId="77777777" w:rsidR="00843C23" w:rsidRPr="00BA4F7F" w:rsidRDefault="00000000">
            <w:pPr>
              <w:spacing w:after="0" w:line="221" w:lineRule="auto"/>
              <w:jc w:val="center"/>
            </w:pPr>
            <w:r w:rsidRPr="00BA4F7F">
              <w:rPr>
                <w:sz w:val="13"/>
              </w:rPr>
              <w:t>38,3</w:t>
            </w:r>
          </w:p>
        </w:tc>
        <w:tc>
          <w:tcPr>
            <w:tcW w:w="720" w:type="dxa"/>
            <w:tcMar>
              <w:top w:w="20" w:type="dxa"/>
              <w:left w:w="35" w:type="dxa"/>
              <w:bottom w:w="20" w:type="dxa"/>
              <w:right w:w="35" w:type="dxa"/>
            </w:tcMar>
            <w:vAlign w:val="center"/>
          </w:tcPr>
          <w:p w14:paraId="6D557E82" w14:textId="77777777" w:rsidR="00843C23" w:rsidRPr="00BA4F7F" w:rsidRDefault="00000000">
            <w:pPr>
              <w:spacing w:after="0" w:line="221" w:lineRule="auto"/>
              <w:jc w:val="center"/>
            </w:pPr>
            <w:r w:rsidRPr="00BA4F7F">
              <w:rPr>
                <w:sz w:val="13"/>
              </w:rPr>
              <w:t>40,0</w:t>
            </w:r>
          </w:p>
        </w:tc>
        <w:tc>
          <w:tcPr>
            <w:tcW w:w="1008" w:type="dxa"/>
            <w:tcMar>
              <w:top w:w="20" w:type="dxa"/>
              <w:left w:w="35" w:type="dxa"/>
              <w:bottom w:w="20" w:type="dxa"/>
              <w:right w:w="35" w:type="dxa"/>
            </w:tcMar>
            <w:vAlign w:val="center"/>
          </w:tcPr>
          <w:p w14:paraId="03E3384B" w14:textId="77777777" w:rsidR="002C59F5" w:rsidRDefault="00000000">
            <w:r>
              <w:t>−3,3</w:t>
            </w:r>
          </w:p>
        </w:tc>
      </w:tr>
      <w:tr w:rsidR="00843C23" w:rsidRPr="00BA4F7F" w14:paraId="0AEE5693" w14:textId="77777777">
        <w:trPr>
          <w:cantSplit/>
          <w:trHeight w:val="410"/>
          <w:jc w:val="center"/>
        </w:trPr>
        <w:tc>
          <w:tcPr>
            <w:tcW w:w="3816" w:type="dxa"/>
            <w:shd w:val="clear" w:color="auto" w:fill="F7F7F7"/>
            <w:tcMar>
              <w:top w:w="20" w:type="dxa"/>
              <w:left w:w="35" w:type="dxa"/>
              <w:bottom w:w="20" w:type="dxa"/>
              <w:right w:w="35" w:type="dxa"/>
            </w:tcMar>
            <w:vAlign w:val="center"/>
          </w:tcPr>
          <w:p w14:paraId="14178B74" w14:textId="77777777" w:rsidR="00843C23" w:rsidRPr="00BA4F7F" w:rsidRDefault="00000000">
            <w:pPr>
              <w:spacing w:after="0" w:line="221" w:lineRule="auto"/>
              <w:jc w:val="left"/>
            </w:pPr>
            <w:r w:rsidRPr="00BA4F7F">
              <w:rPr>
                <w:b/>
                <w:sz w:val="13"/>
              </w:rPr>
              <w:t>Zmiany regulacyjne</w:t>
            </w:r>
          </w:p>
        </w:tc>
        <w:tc>
          <w:tcPr>
            <w:tcW w:w="720" w:type="dxa"/>
            <w:shd w:val="clear" w:color="auto" w:fill="F7F7F7"/>
            <w:tcMar>
              <w:top w:w="20" w:type="dxa"/>
              <w:left w:w="35" w:type="dxa"/>
              <w:bottom w:w="20" w:type="dxa"/>
              <w:right w:w="35" w:type="dxa"/>
            </w:tcMar>
            <w:vAlign w:val="center"/>
          </w:tcPr>
          <w:p w14:paraId="664DA3E6" w14:textId="77777777" w:rsidR="00843C23" w:rsidRPr="00BA4F7F" w:rsidRDefault="00000000">
            <w:pPr>
              <w:spacing w:after="0" w:line="221" w:lineRule="auto"/>
              <w:jc w:val="center"/>
            </w:pPr>
            <w:r w:rsidRPr="00BA4F7F">
              <w:rPr>
                <w:sz w:val="13"/>
              </w:rPr>
              <w:t>52,5</w:t>
            </w:r>
          </w:p>
        </w:tc>
        <w:tc>
          <w:tcPr>
            <w:tcW w:w="720" w:type="dxa"/>
            <w:shd w:val="clear" w:color="auto" w:fill="F7F7F7"/>
            <w:tcMar>
              <w:top w:w="20" w:type="dxa"/>
              <w:left w:w="35" w:type="dxa"/>
              <w:bottom w:w="20" w:type="dxa"/>
              <w:right w:w="35" w:type="dxa"/>
            </w:tcMar>
            <w:vAlign w:val="center"/>
          </w:tcPr>
          <w:p w14:paraId="4B95A8B0" w14:textId="77777777" w:rsidR="00843C23" w:rsidRPr="00BA4F7F" w:rsidRDefault="00000000">
            <w:pPr>
              <w:spacing w:after="0" w:line="221" w:lineRule="auto"/>
              <w:jc w:val="center"/>
            </w:pPr>
            <w:r w:rsidRPr="00BA4F7F">
              <w:rPr>
                <w:sz w:val="13"/>
              </w:rPr>
              <w:t>47,5</w:t>
            </w:r>
          </w:p>
        </w:tc>
        <w:tc>
          <w:tcPr>
            <w:tcW w:w="720" w:type="dxa"/>
            <w:shd w:val="clear" w:color="auto" w:fill="F7F7F7"/>
            <w:tcMar>
              <w:top w:w="20" w:type="dxa"/>
              <w:left w:w="35" w:type="dxa"/>
              <w:bottom w:w="20" w:type="dxa"/>
              <w:right w:w="35" w:type="dxa"/>
            </w:tcMar>
            <w:vAlign w:val="center"/>
          </w:tcPr>
          <w:p w14:paraId="477544A0" w14:textId="77777777" w:rsidR="00843C23" w:rsidRPr="00BA4F7F" w:rsidRDefault="00000000">
            <w:pPr>
              <w:spacing w:after="0" w:line="221" w:lineRule="auto"/>
              <w:jc w:val="center"/>
            </w:pPr>
            <w:r w:rsidRPr="00BA4F7F">
              <w:rPr>
                <w:sz w:val="13"/>
              </w:rPr>
              <w:t>60,0</w:t>
            </w:r>
          </w:p>
        </w:tc>
        <w:tc>
          <w:tcPr>
            <w:tcW w:w="720" w:type="dxa"/>
            <w:shd w:val="clear" w:color="auto" w:fill="F7F7F7"/>
            <w:tcMar>
              <w:top w:w="20" w:type="dxa"/>
              <w:left w:w="35" w:type="dxa"/>
              <w:bottom w:w="20" w:type="dxa"/>
              <w:right w:w="35" w:type="dxa"/>
            </w:tcMar>
            <w:vAlign w:val="center"/>
          </w:tcPr>
          <w:p w14:paraId="78D67C0C" w14:textId="77777777" w:rsidR="00843C23" w:rsidRPr="00BA4F7F" w:rsidRDefault="00000000">
            <w:pPr>
              <w:spacing w:after="0" w:line="221" w:lineRule="auto"/>
              <w:jc w:val="center"/>
            </w:pPr>
            <w:r w:rsidRPr="00BA4F7F">
              <w:rPr>
                <w:sz w:val="13"/>
              </w:rPr>
              <w:t>57,5</w:t>
            </w:r>
          </w:p>
        </w:tc>
        <w:tc>
          <w:tcPr>
            <w:tcW w:w="720" w:type="dxa"/>
            <w:shd w:val="clear" w:color="auto" w:fill="F7F7F7"/>
            <w:tcMar>
              <w:top w:w="20" w:type="dxa"/>
              <w:left w:w="35" w:type="dxa"/>
              <w:bottom w:w="20" w:type="dxa"/>
              <w:right w:w="35" w:type="dxa"/>
            </w:tcMar>
            <w:vAlign w:val="center"/>
          </w:tcPr>
          <w:p w14:paraId="5761D4F7" w14:textId="77777777" w:rsidR="00843C23" w:rsidRPr="00BA4F7F" w:rsidRDefault="00000000">
            <w:pPr>
              <w:spacing w:after="0" w:line="221" w:lineRule="auto"/>
              <w:jc w:val="center"/>
            </w:pPr>
            <w:r w:rsidRPr="00BA4F7F">
              <w:rPr>
                <w:sz w:val="13"/>
              </w:rPr>
              <w:t>42,5</w:t>
            </w:r>
          </w:p>
        </w:tc>
        <w:tc>
          <w:tcPr>
            <w:tcW w:w="720" w:type="dxa"/>
            <w:shd w:val="clear" w:color="auto" w:fill="F7F7F7"/>
            <w:tcMar>
              <w:top w:w="20" w:type="dxa"/>
              <w:left w:w="35" w:type="dxa"/>
              <w:bottom w:w="20" w:type="dxa"/>
              <w:right w:w="35" w:type="dxa"/>
            </w:tcMar>
            <w:vAlign w:val="center"/>
          </w:tcPr>
          <w:p w14:paraId="5F33E444" w14:textId="77777777" w:rsidR="00843C23" w:rsidRPr="00BA4F7F" w:rsidRDefault="00000000">
            <w:pPr>
              <w:spacing w:after="0" w:line="221" w:lineRule="auto"/>
              <w:jc w:val="center"/>
            </w:pPr>
            <w:r w:rsidRPr="00BA4F7F">
              <w:rPr>
                <w:sz w:val="13"/>
              </w:rPr>
              <w:t>38,8</w:t>
            </w:r>
          </w:p>
        </w:tc>
        <w:tc>
          <w:tcPr>
            <w:tcW w:w="1008" w:type="dxa"/>
            <w:shd w:val="clear" w:color="auto" w:fill="F7F7F7"/>
            <w:tcMar>
              <w:top w:w="20" w:type="dxa"/>
              <w:left w:w="35" w:type="dxa"/>
              <w:bottom w:w="20" w:type="dxa"/>
              <w:right w:w="35" w:type="dxa"/>
            </w:tcMar>
            <w:vAlign w:val="center"/>
          </w:tcPr>
          <w:p w14:paraId="64C8EB0E" w14:textId="77777777" w:rsidR="002C59F5" w:rsidRDefault="00000000">
            <w:r>
              <w:t>−13,8</w:t>
            </w:r>
          </w:p>
        </w:tc>
      </w:tr>
    </w:tbl>
    <w:p w14:paraId="747BFAC0" w14:textId="77777777" w:rsidR="00843C23" w:rsidRPr="00BA4F7F" w:rsidRDefault="00843C23">
      <w:pPr>
        <w:spacing w:after="20" w:line="259" w:lineRule="auto"/>
      </w:pPr>
    </w:p>
    <w:p w14:paraId="534F7E2D" w14:textId="77777777" w:rsidR="00843C23" w:rsidRPr="00BA4F7F" w:rsidRDefault="00000000" w:rsidP="002E4684">
      <w:pPr>
        <w:spacing w:line="259" w:lineRule="auto"/>
      </w:pPr>
      <w:r w:rsidRPr="00BA4F7F">
        <w:br w:type="page"/>
      </w:r>
    </w:p>
    <w:p w14:paraId="2BA869E1" w14:textId="77777777" w:rsidR="00843C23" w:rsidRPr="00BA4F7F" w:rsidRDefault="00000000" w:rsidP="002E4684">
      <w:pPr>
        <w:pStyle w:val="ChapterKicker"/>
        <w:keepNext/>
        <w:pageBreakBefore/>
        <w:spacing w:line="259" w:lineRule="auto"/>
        <w:rPr>
          <w:lang w:val="pl-PL"/>
        </w:rPr>
      </w:pPr>
      <w:r w:rsidRPr="00BA4F7F">
        <w:rPr>
          <w:lang w:val="pl-PL"/>
        </w:rPr>
        <w:lastRenderedPageBreak/>
        <w:t>ANEKSY</w:t>
      </w:r>
    </w:p>
    <w:p w14:paraId="76F294EE" w14:textId="77777777" w:rsidR="00843C23" w:rsidRPr="00BA4F7F" w:rsidRDefault="00000000">
      <w:pPr>
        <w:pStyle w:val="Nagwek1"/>
        <w:spacing w:before="0"/>
      </w:pPr>
      <w:bookmarkStart w:id="40" w:name="_Toc236400290"/>
      <w:bookmarkStart w:id="41" w:name="_Toc236400517"/>
      <w:r w:rsidRPr="00BA4F7F">
        <w:t xml:space="preserve">Aneks </w:t>
      </w:r>
      <w:r w:rsidR="002E4684" w:rsidRPr="00BA4F7F">
        <w:t>C</w:t>
      </w:r>
      <w:r w:rsidRPr="00BA4F7F">
        <w:t>. Portfel projektów strategicznych w 2025 r.</w:t>
      </w:r>
      <w:bookmarkEnd w:id="40"/>
      <w:bookmarkEnd w:id="41"/>
    </w:p>
    <w:p w14:paraId="53487781" w14:textId="77777777" w:rsidR="00843C23" w:rsidRPr="00BA4F7F" w:rsidRDefault="00000000">
      <w:pPr>
        <w:pStyle w:val="Lead"/>
        <w:keepNext/>
        <w:rPr>
          <w:lang w:val="pl-PL"/>
        </w:rPr>
      </w:pPr>
      <w:r w:rsidRPr="00BA4F7F">
        <w:rPr>
          <w:lang w:val="pl-PL"/>
        </w:rPr>
        <w:t>Wynik projektu jest średnią czterech kryteriów i nie oznacza procentu ukończenia.</w:t>
      </w:r>
    </w:p>
    <w:tbl>
      <w:tblPr>
        <w:tblStyle w:val="Tabela-Siatka"/>
        <w:tblW w:w="0" w:type="auto"/>
        <w:jc w:val="center"/>
        <w:tblLayout w:type="fixed"/>
        <w:tblLook w:val="04A0" w:firstRow="1" w:lastRow="0" w:firstColumn="1" w:lastColumn="0" w:noHBand="0" w:noVBand="1"/>
      </w:tblPr>
      <w:tblGrid>
        <w:gridCol w:w="6192"/>
        <w:gridCol w:w="1152"/>
        <w:gridCol w:w="2160"/>
      </w:tblGrid>
      <w:tr w:rsidR="00843C23" w:rsidRPr="00BA4F7F" w14:paraId="6EACA33B" w14:textId="77777777">
        <w:trPr>
          <w:cantSplit/>
          <w:tblHeader/>
          <w:jc w:val="center"/>
        </w:trPr>
        <w:tc>
          <w:tcPr>
            <w:tcW w:w="6192" w:type="dxa"/>
            <w:shd w:val="clear" w:color="auto" w:fill="1F4E79"/>
            <w:tcMar>
              <w:top w:w="70" w:type="dxa"/>
              <w:left w:w="80" w:type="dxa"/>
              <w:bottom w:w="70" w:type="dxa"/>
              <w:right w:w="80" w:type="dxa"/>
            </w:tcMar>
            <w:vAlign w:val="center"/>
          </w:tcPr>
          <w:p w14:paraId="1E1D723F" w14:textId="77777777" w:rsidR="00843C23" w:rsidRPr="00BA4F7F" w:rsidRDefault="00000000">
            <w:pPr>
              <w:jc w:val="center"/>
            </w:pPr>
            <w:r w:rsidRPr="00BA4F7F">
              <w:rPr>
                <w:b/>
                <w:color w:val="FFFFFF"/>
                <w:sz w:val="16"/>
              </w:rPr>
              <w:t>Projekt / program</w:t>
            </w:r>
          </w:p>
        </w:tc>
        <w:tc>
          <w:tcPr>
            <w:tcW w:w="1152" w:type="dxa"/>
            <w:shd w:val="clear" w:color="auto" w:fill="1F4E79"/>
            <w:tcMar>
              <w:top w:w="70" w:type="dxa"/>
              <w:left w:w="80" w:type="dxa"/>
              <w:bottom w:w="70" w:type="dxa"/>
              <w:right w:w="80" w:type="dxa"/>
            </w:tcMar>
            <w:vAlign w:val="center"/>
          </w:tcPr>
          <w:p w14:paraId="6AB4A151" w14:textId="77777777" w:rsidR="00843C23" w:rsidRPr="00BA4F7F" w:rsidRDefault="00000000">
            <w:pPr>
              <w:jc w:val="center"/>
            </w:pPr>
            <w:r w:rsidRPr="00BA4F7F">
              <w:rPr>
                <w:b/>
                <w:color w:val="FFFFFF"/>
                <w:sz w:val="16"/>
              </w:rPr>
              <w:t>Wynik 2025</w:t>
            </w:r>
          </w:p>
        </w:tc>
        <w:tc>
          <w:tcPr>
            <w:tcW w:w="2160" w:type="dxa"/>
            <w:shd w:val="clear" w:color="auto" w:fill="1F4E79"/>
            <w:tcMar>
              <w:top w:w="70" w:type="dxa"/>
              <w:left w:w="80" w:type="dxa"/>
              <w:bottom w:w="70" w:type="dxa"/>
              <w:right w:w="80" w:type="dxa"/>
            </w:tcMar>
            <w:vAlign w:val="center"/>
          </w:tcPr>
          <w:p w14:paraId="2E9D96BD" w14:textId="77777777" w:rsidR="00843C23" w:rsidRPr="00BA4F7F" w:rsidRDefault="00000000">
            <w:pPr>
              <w:jc w:val="center"/>
            </w:pPr>
            <w:r w:rsidRPr="00BA4F7F">
              <w:rPr>
                <w:b/>
                <w:color w:val="FFFFFF"/>
                <w:sz w:val="16"/>
              </w:rPr>
              <w:t>Klasa</w:t>
            </w:r>
          </w:p>
        </w:tc>
      </w:tr>
      <w:tr w:rsidR="00843C23" w:rsidRPr="00BA4F7F" w14:paraId="6F3CB02A" w14:textId="77777777">
        <w:trPr>
          <w:cantSplit/>
          <w:jc w:val="center"/>
        </w:trPr>
        <w:tc>
          <w:tcPr>
            <w:tcW w:w="6192" w:type="dxa"/>
            <w:tcMar>
              <w:top w:w="60" w:type="dxa"/>
              <w:left w:w="70" w:type="dxa"/>
              <w:bottom w:w="60" w:type="dxa"/>
              <w:right w:w="70" w:type="dxa"/>
            </w:tcMar>
            <w:vAlign w:val="center"/>
          </w:tcPr>
          <w:p w14:paraId="6FFEEEB7" w14:textId="77777777" w:rsidR="00843C23" w:rsidRPr="00BA4F7F" w:rsidRDefault="00000000">
            <w:pPr>
              <w:jc w:val="left"/>
            </w:pPr>
            <w:r w:rsidRPr="00BA4F7F">
              <w:rPr>
                <w:b/>
                <w:sz w:val="15"/>
              </w:rPr>
              <w:t>Wisła, Narew, Pilica+ i IBCS</w:t>
            </w:r>
          </w:p>
        </w:tc>
        <w:tc>
          <w:tcPr>
            <w:tcW w:w="1152" w:type="dxa"/>
            <w:tcMar>
              <w:top w:w="60" w:type="dxa"/>
              <w:left w:w="70" w:type="dxa"/>
              <w:bottom w:w="60" w:type="dxa"/>
              <w:right w:w="70" w:type="dxa"/>
            </w:tcMar>
            <w:vAlign w:val="center"/>
          </w:tcPr>
          <w:p w14:paraId="2218CC0E" w14:textId="77777777" w:rsidR="002C59F5" w:rsidRDefault="00000000">
            <w:r>
              <w:t>91,3</w:t>
            </w:r>
          </w:p>
        </w:tc>
        <w:tc>
          <w:tcPr>
            <w:tcW w:w="2160" w:type="dxa"/>
            <w:tcMar>
              <w:top w:w="60" w:type="dxa"/>
              <w:left w:w="70" w:type="dxa"/>
              <w:bottom w:w="60" w:type="dxa"/>
              <w:right w:w="70" w:type="dxa"/>
            </w:tcMar>
            <w:vAlign w:val="center"/>
          </w:tcPr>
          <w:p w14:paraId="2C590C61" w14:textId="77777777" w:rsidR="002C59F5" w:rsidRDefault="00000000">
            <w:r>
              <w:t>wysoka odporność / silna zdolność</w:t>
            </w:r>
          </w:p>
        </w:tc>
      </w:tr>
      <w:tr w:rsidR="00843C23" w:rsidRPr="00BA4F7F" w14:paraId="758C597C" w14:textId="77777777">
        <w:trPr>
          <w:cantSplit/>
          <w:jc w:val="center"/>
        </w:trPr>
        <w:tc>
          <w:tcPr>
            <w:tcW w:w="6192" w:type="dxa"/>
            <w:shd w:val="clear" w:color="auto" w:fill="F7F7F7"/>
            <w:tcMar>
              <w:top w:w="60" w:type="dxa"/>
              <w:left w:w="70" w:type="dxa"/>
              <w:bottom w:w="60" w:type="dxa"/>
              <w:right w:w="70" w:type="dxa"/>
            </w:tcMar>
            <w:vAlign w:val="center"/>
          </w:tcPr>
          <w:p w14:paraId="063F2DAD" w14:textId="77777777" w:rsidR="00843C23" w:rsidRPr="00BA4F7F" w:rsidRDefault="00000000">
            <w:pPr>
              <w:jc w:val="left"/>
            </w:pPr>
            <w:r w:rsidRPr="00BA4F7F">
              <w:rPr>
                <w:b/>
                <w:sz w:val="15"/>
              </w:rPr>
              <w:t>Abrams, K2/K2PL, Borsuk, CBWP</w:t>
            </w:r>
          </w:p>
        </w:tc>
        <w:tc>
          <w:tcPr>
            <w:tcW w:w="1152" w:type="dxa"/>
            <w:shd w:val="clear" w:color="auto" w:fill="F7F7F7"/>
            <w:tcMar>
              <w:top w:w="60" w:type="dxa"/>
              <w:left w:w="70" w:type="dxa"/>
              <w:bottom w:w="60" w:type="dxa"/>
              <w:right w:w="70" w:type="dxa"/>
            </w:tcMar>
            <w:vAlign w:val="center"/>
          </w:tcPr>
          <w:p w14:paraId="40C80769" w14:textId="77777777" w:rsidR="002C59F5" w:rsidRDefault="00000000">
            <w:r>
              <w:t>90,0</w:t>
            </w:r>
          </w:p>
        </w:tc>
        <w:tc>
          <w:tcPr>
            <w:tcW w:w="2160" w:type="dxa"/>
            <w:shd w:val="clear" w:color="auto" w:fill="F7F7F7"/>
            <w:tcMar>
              <w:top w:w="60" w:type="dxa"/>
              <w:left w:w="70" w:type="dxa"/>
              <w:bottom w:w="60" w:type="dxa"/>
              <w:right w:w="70" w:type="dxa"/>
            </w:tcMar>
            <w:vAlign w:val="center"/>
          </w:tcPr>
          <w:p w14:paraId="54D11E83" w14:textId="77777777" w:rsidR="002C59F5" w:rsidRDefault="00000000">
            <w:r>
              <w:t>wysoka odporność / silna zdolność</w:t>
            </w:r>
          </w:p>
        </w:tc>
      </w:tr>
      <w:tr w:rsidR="00843C23" w:rsidRPr="00BA4F7F" w14:paraId="0949EE8B" w14:textId="77777777">
        <w:trPr>
          <w:cantSplit/>
          <w:jc w:val="center"/>
        </w:trPr>
        <w:tc>
          <w:tcPr>
            <w:tcW w:w="6192" w:type="dxa"/>
            <w:tcMar>
              <w:top w:w="60" w:type="dxa"/>
              <w:left w:w="70" w:type="dxa"/>
              <w:bottom w:w="60" w:type="dxa"/>
              <w:right w:w="70" w:type="dxa"/>
            </w:tcMar>
            <w:vAlign w:val="center"/>
          </w:tcPr>
          <w:p w14:paraId="2451D858" w14:textId="77777777" w:rsidR="00843C23" w:rsidRPr="00BA4F7F" w:rsidRDefault="00000000">
            <w:pPr>
              <w:jc w:val="left"/>
            </w:pPr>
            <w:r w:rsidRPr="00BA4F7F">
              <w:rPr>
                <w:b/>
                <w:sz w:val="15"/>
              </w:rPr>
              <w:t>Krab, K9, Homar-K/Homar-A</w:t>
            </w:r>
          </w:p>
        </w:tc>
        <w:tc>
          <w:tcPr>
            <w:tcW w:w="1152" w:type="dxa"/>
            <w:tcMar>
              <w:top w:w="60" w:type="dxa"/>
              <w:left w:w="70" w:type="dxa"/>
              <w:bottom w:w="60" w:type="dxa"/>
              <w:right w:w="70" w:type="dxa"/>
            </w:tcMar>
            <w:vAlign w:val="center"/>
          </w:tcPr>
          <w:p w14:paraId="72E569D4" w14:textId="77777777" w:rsidR="002C59F5" w:rsidRDefault="00000000">
            <w:r>
              <w:t>90,0</w:t>
            </w:r>
          </w:p>
        </w:tc>
        <w:tc>
          <w:tcPr>
            <w:tcW w:w="2160" w:type="dxa"/>
            <w:tcMar>
              <w:top w:w="60" w:type="dxa"/>
              <w:left w:w="70" w:type="dxa"/>
              <w:bottom w:w="60" w:type="dxa"/>
              <w:right w:w="70" w:type="dxa"/>
            </w:tcMar>
            <w:vAlign w:val="center"/>
          </w:tcPr>
          <w:p w14:paraId="6619DD41" w14:textId="77777777" w:rsidR="002C59F5" w:rsidRDefault="00000000">
            <w:r>
              <w:t>wysoka odporność / silna zdolność</w:t>
            </w:r>
          </w:p>
        </w:tc>
      </w:tr>
      <w:tr w:rsidR="00843C23" w:rsidRPr="00BA4F7F" w14:paraId="759442A4" w14:textId="77777777">
        <w:trPr>
          <w:cantSplit/>
          <w:jc w:val="center"/>
        </w:trPr>
        <w:tc>
          <w:tcPr>
            <w:tcW w:w="6192" w:type="dxa"/>
            <w:shd w:val="clear" w:color="auto" w:fill="F7F7F7"/>
            <w:tcMar>
              <w:top w:w="60" w:type="dxa"/>
              <w:left w:w="70" w:type="dxa"/>
              <w:bottom w:w="60" w:type="dxa"/>
              <w:right w:w="70" w:type="dxa"/>
            </w:tcMar>
            <w:vAlign w:val="center"/>
          </w:tcPr>
          <w:p w14:paraId="7450FB7F" w14:textId="77777777" w:rsidR="00843C23" w:rsidRPr="00BA4F7F" w:rsidRDefault="00000000">
            <w:pPr>
              <w:jc w:val="left"/>
            </w:pPr>
            <w:r w:rsidRPr="00BA4F7F">
              <w:rPr>
                <w:b/>
                <w:sz w:val="15"/>
              </w:rPr>
              <w:t>Miecznik</w:t>
            </w:r>
          </w:p>
        </w:tc>
        <w:tc>
          <w:tcPr>
            <w:tcW w:w="1152" w:type="dxa"/>
            <w:shd w:val="clear" w:color="auto" w:fill="F7F7F7"/>
            <w:tcMar>
              <w:top w:w="60" w:type="dxa"/>
              <w:left w:w="70" w:type="dxa"/>
              <w:bottom w:w="60" w:type="dxa"/>
              <w:right w:w="70" w:type="dxa"/>
            </w:tcMar>
            <w:vAlign w:val="center"/>
          </w:tcPr>
          <w:p w14:paraId="61CD2F65" w14:textId="77777777" w:rsidR="002C59F5" w:rsidRDefault="00000000">
            <w:r>
              <w:t>90,0</w:t>
            </w:r>
          </w:p>
        </w:tc>
        <w:tc>
          <w:tcPr>
            <w:tcW w:w="2160" w:type="dxa"/>
            <w:shd w:val="clear" w:color="auto" w:fill="F7F7F7"/>
            <w:tcMar>
              <w:top w:w="60" w:type="dxa"/>
              <w:left w:w="70" w:type="dxa"/>
              <w:bottom w:w="60" w:type="dxa"/>
              <w:right w:w="70" w:type="dxa"/>
            </w:tcMar>
            <w:vAlign w:val="center"/>
          </w:tcPr>
          <w:p w14:paraId="17A02410" w14:textId="77777777" w:rsidR="002C59F5" w:rsidRDefault="00000000">
            <w:r>
              <w:t>wysoka odporność / silna zdolność</w:t>
            </w:r>
          </w:p>
        </w:tc>
      </w:tr>
      <w:tr w:rsidR="00843C23" w:rsidRPr="00BA4F7F" w14:paraId="4A1C3C2B" w14:textId="77777777">
        <w:trPr>
          <w:cantSplit/>
          <w:jc w:val="center"/>
        </w:trPr>
        <w:tc>
          <w:tcPr>
            <w:tcW w:w="6192" w:type="dxa"/>
            <w:tcMar>
              <w:top w:w="60" w:type="dxa"/>
              <w:left w:w="70" w:type="dxa"/>
              <w:bottom w:w="60" w:type="dxa"/>
              <w:right w:w="70" w:type="dxa"/>
            </w:tcMar>
            <w:vAlign w:val="center"/>
          </w:tcPr>
          <w:p w14:paraId="53CD7CB2" w14:textId="77777777" w:rsidR="00843C23" w:rsidRPr="00BA4F7F" w:rsidRDefault="00000000">
            <w:pPr>
              <w:jc w:val="left"/>
            </w:pPr>
            <w:r w:rsidRPr="00BA4F7F">
              <w:rPr>
                <w:b/>
                <w:sz w:val="15"/>
              </w:rPr>
              <w:t>Amunicja 155 mm i przemysł amunicyjny</w:t>
            </w:r>
          </w:p>
        </w:tc>
        <w:tc>
          <w:tcPr>
            <w:tcW w:w="1152" w:type="dxa"/>
            <w:tcMar>
              <w:top w:w="60" w:type="dxa"/>
              <w:left w:w="70" w:type="dxa"/>
              <w:bottom w:w="60" w:type="dxa"/>
              <w:right w:w="70" w:type="dxa"/>
            </w:tcMar>
            <w:vAlign w:val="center"/>
          </w:tcPr>
          <w:p w14:paraId="0D35A0E5" w14:textId="77777777" w:rsidR="002C59F5" w:rsidRDefault="00000000">
            <w:r>
              <w:t>88,8</w:t>
            </w:r>
          </w:p>
        </w:tc>
        <w:tc>
          <w:tcPr>
            <w:tcW w:w="2160" w:type="dxa"/>
            <w:tcMar>
              <w:top w:w="60" w:type="dxa"/>
              <w:left w:w="70" w:type="dxa"/>
              <w:bottom w:w="60" w:type="dxa"/>
              <w:right w:w="70" w:type="dxa"/>
            </w:tcMar>
            <w:vAlign w:val="center"/>
          </w:tcPr>
          <w:p w14:paraId="5D6A17B4" w14:textId="77777777" w:rsidR="002C59F5" w:rsidRDefault="00000000">
            <w:r>
              <w:t>wysoka odporność / silna zdolność</w:t>
            </w:r>
          </w:p>
        </w:tc>
      </w:tr>
      <w:tr w:rsidR="00843C23" w:rsidRPr="00BA4F7F" w14:paraId="35AC4480" w14:textId="77777777">
        <w:trPr>
          <w:cantSplit/>
          <w:jc w:val="center"/>
        </w:trPr>
        <w:tc>
          <w:tcPr>
            <w:tcW w:w="6192" w:type="dxa"/>
            <w:shd w:val="clear" w:color="auto" w:fill="F7F7F7"/>
            <w:tcMar>
              <w:top w:w="60" w:type="dxa"/>
              <w:left w:w="70" w:type="dxa"/>
              <w:bottom w:w="60" w:type="dxa"/>
              <w:right w:w="70" w:type="dxa"/>
            </w:tcMar>
            <w:vAlign w:val="center"/>
          </w:tcPr>
          <w:p w14:paraId="383D070D" w14:textId="77777777" w:rsidR="00843C23" w:rsidRPr="00BA4F7F" w:rsidRDefault="00000000">
            <w:pPr>
              <w:jc w:val="left"/>
            </w:pPr>
            <w:r w:rsidRPr="00BA4F7F">
              <w:rPr>
                <w:b/>
                <w:sz w:val="15"/>
              </w:rPr>
              <w:t>Rozpoznanie satelitarne i C4ISR</w:t>
            </w:r>
          </w:p>
        </w:tc>
        <w:tc>
          <w:tcPr>
            <w:tcW w:w="1152" w:type="dxa"/>
            <w:shd w:val="clear" w:color="auto" w:fill="F7F7F7"/>
            <w:tcMar>
              <w:top w:w="60" w:type="dxa"/>
              <w:left w:w="70" w:type="dxa"/>
              <w:bottom w:w="60" w:type="dxa"/>
              <w:right w:w="70" w:type="dxa"/>
            </w:tcMar>
            <w:vAlign w:val="center"/>
          </w:tcPr>
          <w:p w14:paraId="184457DD" w14:textId="77777777" w:rsidR="002C59F5" w:rsidRDefault="00000000">
            <w:r>
              <w:t>88,8</w:t>
            </w:r>
          </w:p>
        </w:tc>
        <w:tc>
          <w:tcPr>
            <w:tcW w:w="2160" w:type="dxa"/>
            <w:shd w:val="clear" w:color="auto" w:fill="F7F7F7"/>
            <w:tcMar>
              <w:top w:w="60" w:type="dxa"/>
              <w:left w:w="70" w:type="dxa"/>
              <w:bottom w:w="60" w:type="dxa"/>
              <w:right w:w="70" w:type="dxa"/>
            </w:tcMar>
            <w:vAlign w:val="center"/>
          </w:tcPr>
          <w:p w14:paraId="10EB8078" w14:textId="77777777" w:rsidR="002C59F5" w:rsidRDefault="00000000">
            <w:r>
              <w:t>wysoka odporność / silna zdolność</w:t>
            </w:r>
          </w:p>
        </w:tc>
      </w:tr>
      <w:tr w:rsidR="00843C23" w:rsidRPr="00BA4F7F" w14:paraId="3BC795ED" w14:textId="77777777">
        <w:trPr>
          <w:cantSplit/>
          <w:jc w:val="center"/>
        </w:trPr>
        <w:tc>
          <w:tcPr>
            <w:tcW w:w="6192" w:type="dxa"/>
            <w:tcMar>
              <w:top w:w="60" w:type="dxa"/>
              <w:left w:w="70" w:type="dxa"/>
              <w:bottom w:w="60" w:type="dxa"/>
              <w:right w:w="70" w:type="dxa"/>
            </w:tcMar>
            <w:vAlign w:val="center"/>
          </w:tcPr>
          <w:p w14:paraId="2CCCB23A" w14:textId="77777777" w:rsidR="00843C23" w:rsidRPr="00BA4F7F" w:rsidRDefault="00000000">
            <w:pPr>
              <w:jc w:val="left"/>
            </w:pPr>
            <w:r w:rsidRPr="00BA4F7F">
              <w:rPr>
                <w:b/>
                <w:sz w:val="15"/>
              </w:rPr>
              <w:t>Rozbudowa Terminalu LNG w Świnoujściu</w:t>
            </w:r>
          </w:p>
        </w:tc>
        <w:tc>
          <w:tcPr>
            <w:tcW w:w="1152" w:type="dxa"/>
            <w:tcMar>
              <w:top w:w="60" w:type="dxa"/>
              <w:left w:w="70" w:type="dxa"/>
              <w:bottom w:w="60" w:type="dxa"/>
              <w:right w:w="70" w:type="dxa"/>
            </w:tcMar>
            <w:vAlign w:val="center"/>
          </w:tcPr>
          <w:p w14:paraId="43DE18BD" w14:textId="77777777" w:rsidR="002C59F5" w:rsidRDefault="00000000">
            <w:r>
              <w:t>87,5</w:t>
            </w:r>
          </w:p>
        </w:tc>
        <w:tc>
          <w:tcPr>
            <w:tcW w:w="2160" w:type="dxa"/>
            <w:tcMar>
              <w:top w:w="60" w:type="dxa"/>
              <w:left w:w="70" w:type="dxa"/>
              <w:bottom w:w="60" w:type="dxa"/>
              <w:right w:w="70" w:type="dxa"/>
            </w:tcMar>
            <w:vAlign w:val="center"/>
          </w:tcPr>
          <w:p w14:paraId="3A67D0F2" w14:textId="77777777" w:rsidR="002C59F5" w:rsidRDefault="00000000">
            <w:r>
              <w:t>wysoka odporność / silna zdolność</w:t>
            </w:r>
          </w:p>
        </w:tc>
      </w:tr>
      <w:tr w:rsidR="00843C23" w:rsidRPr="00BA4F7F" w14:paraId="3A1928CC" w14:textId="77777777">
        <w:trPr>
          <w:cantSplit/>
          <w:jc w:val="center"/>
        </w:trPr>
        <w:tc>
          <w:tcPr>
            <w:tcW w:w="6192" w:type="dxa"/>
            <w:shd w:val="clear" w:color="auto" w:fill="F7F7F7"/>
            <w:tcMar>
              <w:top w:w="60" w:type="dxa"/>
              <w:left w:w="70" w:type="dxa"/>
              <w:bottom w:w="60" w:type="dxa"/>
              <w:right w:w="70" w:type="dxa"/>
            </w:tcMar>
            <w:vAlign w:val="center"/>
          </w:tcPr>
          <w:p w14:paraId="72CF7FE8" w14:textId="77777777" w:rsidR="00843C23" w:rsidRPr="00BA4F7F" w:rsidRDefault="00000000">
            <w:pPr>
              <w:jc w:val="left"/>
            </w:pPr>
            <w:r w:rsidRPr="00BA4F7F">
              <w:rPr>
                <w:b/>
                <w:sz w:val="15"/>
              </w:rPr>
              <w:t>S3 Świnoujście–Lubawka / domknięcie Świnoujście–Troszyn</w:t>
            </w:r>
          </w:p>
        </w:tc>
        <w:tc>
          <w:tcPr>
            <w:tcW w:w="1152" w:type="dxa"/>
            <w:shd w:val="clear" w:color="auto" w:fill="F7F7F7"/>
            <w:tcMar>
              <w:top w:w="60" w:type="dxa"/>
              <w:left w:w="70" w:type="dxa"/>
              <w:bottom w:w="60" w:type="dxa"/>
              <w:right w:w="70" w:type="dxa"/>
            </w:tcMar>
            <w:vAlign w:val="center"/>
          </w:tcPr>
          <w:p w14:paraId="1D6AED2E" w14:textId="77777777" w:rsidR="002C59F5" w:rsidRDefault="00000000">
            <w:r>
              <w:t>87,5</w:t>
            </w:r>
          </w:p>
        </w:tc>
        <w:tc>
          <w:tcPr>
            <w:tcW w:w="2160" w:type="dxa"/>
            <w:shd w:val="clear" w:color="auto" w:fill="F7F7F7"/>
            <w:tcMar>
              <w:top w:w="60" w:type="dxa"/>
              <w:left w:w="70" w:type="dxa"/>
              <w:bottom w:w="60" w:type="dxa"/>
              <w:right w:w="70" w:type="dxa"/>
            </w:tcMar>
            <w:vAlign w:val="center"/>
          </w:tcPr>
          <w:p w14:paraId="2A19C7F7" w14:textId="77777777" w:rsidR="002C59F5" w:rsidRDefault="00000000">
            <w:r>
              <w:t>wysoka odporność / silna zdolność</w:t>
            </w:r>
          </w:p>
        </w:tc>
      </w:tr>
      <w:tr w:rsidR="00843C23" w:rsidRPr="00BA4F7F" w14:paraId="4D53B213" w14:textId="77777777">
        <w:trPr>
          <w:cantSplit/>
          <w:jc w:val="center"/>
        </w:trPr>
        <w:tc>
          <w:tcPr>
            <w:tcW w:w="6192" w:type="dxa"/>
            <w:tcMar>
              <w:top w:w="60" w:type="dxa"/>
              <w:left w:w="70" w:type="dxa"/>
              <w:bottom w:w="60" w:type="dxa"/>
              <w:right w:w="70" w:type="dxa"/>
            </w:tcMar>
            <w:vAlign w:val="center"/>
          </w:tcPr>
          <w:p w14:paraId="723EDA52" w14:textId="77777777" w:rsidR="00843C23" w:rsidRPr="00BA4F7F" w:rsidRDefault="00000000">
            <w:pPr>
              <w:jc w:val="left"/>
            </w:pPr>
            <w:proofErr w:type="spellStart"/>
            <w:r w:rsidRPr="00BA4F7F">
              <w:rPr>
                <w:b/>
                <w:sz w:val="15"/>
              </w:rPr>
              <w:t>Baltic</w:t>
            </w:r>
            <w:proofErr w:type="spellEnd"/>
            <w:r w:rsidRPr="00BA4F7F">
              <w:rPr>
                <w:b/>
                <w:sz w:val="15"/>
              </w:rPr>
              <w:t xml:space="preserve"> Hub T3 w Porcie Gdańsk</w:t>
            </w:r>
          </w:p>
        </w:tc>
        <w:tc>
          <w:tcPr>
            <w:tcW w:w="1152" w:type="dxa"/>
            <w:tcMar>
              <w:top w:w="60" w:type="dxa"/>
              <w:left w:w="70" w:type="dxa"/>
              <w:bottom w:w="60" w:type="dxa"/>
              <w:right w:w="70" w:type="dxa"/>
            </w:tcMar>
            <w:vAlign w:val="center"/>
          </w:tcPr>
          <w:p w14:paraId="704A6F2D" w14:textId="77777777" w:rsidR="002C59F5" w:rsidRDefault="00000000">
            <w:r>
              <w:t>87,5</w:t>
            </w:r>
          </w:p>
        </w:tc>
        <w:tc>
          <w:tcPr>
            <w:tcW w:w="2160" w:type="dxa"/>
            <w:tcMar>
              <w:top w:w="60" w:type="dxa"/>
              <w:left w:w="70" w:type="dxa"/>
              <w:bottom w:w="60" w:type="dxa"/>
              <w:right w:w="70" w:type="dxa"/>
            </w:tcMar>
            <w:vAlign w:val="center"/>
          </w:tcPr>
          <w:p w14:paraId="7298070F" w14:textId="77777777" w:rsidR="002C59F5" w:rsidRDefault="00000000">
            <w:r>
              <w:t>wysoka odporność / silna zdolność</w:t>
            </w:r>
          </w:p>
        </w:tc>
      </w:tr>
      <w:tr w:rsidR="00843C23" w:rsidRPr="00BA4F7F" w14:paraId="4DDE5136" w14:textId="77777777">
        <w:trPr>
          <w:cantSplit/>
          <w:jc w:val="center"/>
        </w:trPr>
        <w:tc>
          <w:tcPr>
            <w:tcW w:w="6192" w:type="dxa"/>
            <w:shd w:val="clear" w:color="auto" w:fill="F7F7F7"/>
            <w:tcMar>
              <w:top w:w="60" w:type="dxa"/>
              <w:left w:w="70" w:type="dxa"/>
              <w:bottom w:w="60" w:type="dxa"/>
              <w:right w:w="70" w:type="dxa"/>
            </w:tcMar>
            <w:vAlign w:val="center"/>
          </w:tcPr>
          <w:p w14:paraId="1EE364D6" w14:textId="77777777" w:rsidR="00843C23" w:rsidRPr="00BA4F7F" w:rsidRDefault="00000000">
            <w:pPr>
              <w:jc w:val="left"/>
            </w:pPr>
            <w:r w:rsidRPr="00BA4F7F">
              <w:rPr>
                <w:b/>
                <w:sz w:val="15"/>
              </w:rPr>
              <w:t xml:space="preserve">Tarcza Wschód i systemy </w:t>
            </w:r>
            <w:proofErr w:type="spellStart"/>
            <w:r w:rsidRPr="00BA4F7F">
              <w:rPr>
                <w:b/>
                <w:sz w:val="15"/>
              </w:rPr>
              <w:t>antydronowe</w:t>
            </w:r>
            <w:proofErr w:type="spellEnd"/>
            <w:r w:rsidRPr="00BA4F7F">
              <w:rPr>
                <w:b/>
                <w:sz w:val="15"/>
              </w:rPr>
              <w:t xml:space="preserve"> SAN</w:t>
            </w:r>
          </w:p>
        </w:tc>
        <w:tc>
          <w:tcPr>
            <w:tcW w:w="1152" w:type="dxa"/>
            <w:shd w:val="clear" w:color="auto" w:fill="F7F7F7"/>
            <w:tcMar>
              <w:top w:w="60" w:type="dxa"/>
              <w:left w:w="70" w:type="dxa"/>
              <w:bottom w:w="60" w:type="dxa"/>
              <w:right w:w="70" w:type="dxa"/>
            </w:tcMar>
            <w:vAlign w:val="center"/>
          </w:tcPr>
          <w:p w14:paraId="14A028BB" w14:textId="77777777" w:rsidR="002C59F5" w:rsidRDefault="00000000">
            <w:r>
              <w:t>87,5</w:t>
            </w:r>
          </w:p>
        </w:tc>
        <w:tc>
          <w:tcPr>
            <w:tcW w:w="2160" w:type="dxa"/>
            <w:shd w:val="clear" w:color="auto" w:fill="F7F7F7"/>
            <w:tcMar>
              <w:top w:w="60" w:type="dxa"/>
              <w:left w:w="70" w:type="dxa"/>
              <w:bottom w:w="60" w:type="dxa"/>
              <w:right w:w="70" w:type="dxa"/>
            </w:tcMar>
            <w:vAlign w:val="center"/>
          </w:tcPr>
          <w:p w14:paraId="5F47503E" w14:textId="77777777" w:rsidR="002C59F5" w:rsidRDefault="00000000">
            <w:r>
              <w:t>wysoka odporność / silna zdolność</w:t>
            </w:r>
          </w:p>
        </w:tc>
      </w:tr>
      <w:tr w:rsidR="00843C23" w:rsidRPr="00BA4F7F" w14:paraId="03D25EB1" w14:textId="77777777">
        <w:trPr>
          <w:cantSplit/>
          <w:jc w:val="center"/>
        </w:trPr>
        <w:tc>
          <w:tcPr>
            <w:tcW w:w="6192" w:type="dxa"/>
            <w:tcMar>
              <w:top w:w="60" w:type="dxa"/>
              <w:left w:w="70" w:type="dxa"/>
              <w:bottom w:w="60" w:type="dxa"/>
              <w:right w:w="70" w:type="dxa"/>
            </w:tcMar>
            <w:vAlign w:val="center"/>
          </w:tcPr>
          <w:p w14:paraId="64DE53AA" w14:textId="77777777" w:rsidR="00843C23" w:rsidRPr="00BA4F7F" w:rsidRDefault="00000000">
            <w:pPr>
              <w:jc w:val="left"/>
            </w:pPr>
            <w:proofErr w:type="spellStart"/>
            <w:r w:rsidRPr="00BA4F7F">
              <w:rPr>
                <w:b/>
                <w:sz w:val="15"/>
              </w:rPr>
              <w:t>Baltic</w:t>
            </w:r>
            <w:proofErr w:type="spellEnd"/>
            <w:r w:rsidRPr="00BA4F7F">
              <w:rPr>
                <w:b/>
                <w:sz w:val="15"/>
              </w:rPr>
              <w:t xml:space="preserve"> </w:t>
            </w:r>
            <w:proofErr w:type="spellStart"/>
            <w:r w:rsidRPr="00BA4F7F">
              <w:rPr>
                <w:b/>
                <w:sz w:val="15"/>
              </w:rPr>
              <w:t>Pipe</w:t>
            </w:r>
            <w:proofErr w:type="spellEnd"/>
            <w:r w:rsidRPr="00BA4F7F">
              <w:rPr>
                <w:b/>
                <w:sz w:val="15"/>
              </w:rPr>
              <w:t xml:space="preserve"> i połączenia międzysystemowe</w:t>
            </w:r>
          </w:p>
        </w:tc>
        <w:tc>
          <w:tcPr>
            <w:tcW w:w="1152" w:type="dxa"/>
            <w:tcMar>
              <w:top w:w="60" w:type="dxa"/>
              <w:left w:w="70" w:type="dxa"/>
              <w:bottom w:w="60" w:type="dxa"/>
              <w:right w:w="70" w:type="dxa"/>
            </w:tcMar>
            <w:vAlign w:val="center"/>
          </w:tcPr>
          <w:p w14:paraId="403C92CD" w14:textId="77777777" w:rsidR="002C59F5" w:rsidRDefault="00000000">
            <w:r>
              <w:t>86,3</w:t>
            </w:r>
          </w:p>
        </w:tc>
        <w:tc>
          <w:tcPr>
            <w:tcW w:w="2160" w:type="dxa"/>
            <w:tcMar>
              <w:top w:w="60" w:type="dxa"/>
              <w:left w:w="70" w:type="dxa"/>
              <w:bottom w:w="60" w:type="dxa"/>
              <w:right w:w="70" w:type="dxa"/>
            </w:tcMar>
            <w:vAlign w:val="center"/>
          </w:tcPr>
          <w:p w14:paraId="6ED8877B" w14:textId="77777777" w:rsidR="002C59F5" w:rsidRDefault="00000000">
            <w:r>
              <w:t>wysoka odporność / silna zdolność</w:t>
            </w:r>
          </w:p>
        </w:tc>
      </w:tr>
      <w:tr w:rsidR="00843C23" w:rsidRPr="00BA4F7F" w14:paraId="7E02C313" w14:textId="77777777">
        <w:trPr>
          <w:cantSplit/>
          <w:jc w:val="center"/>
        </w:trPr>
        <w:tc>
          <w:tcPr>
            <w:tcW w:w="6192" w:type="dxa"/>
            <w:shd w:val="clear" w:color="auto" w:fill="F7F7F7"/>
            <w:tcMar>
              <w:top w:w="60" w:type="dxa"/>
              <w:left w:w="70" w:type="dxa"/>
              <w:bottom w:w="60" w:type="dxa"/>
              <w:right w:w="70" w:type="dxa"/>
            </w:tcMar>
            <w:vAlign w:val="center"/>
          </w:tcPr>
          <w:p w14:paraId="38875A15" w14:textId="77777777" w:rsidR="00843C23" w:rsidRPr="00BA4F7F" w:rsidRDefault="00000000">
            <w:pPr>
              <w:jc w:val="left"/>
            </w:pPr>
            <w:r w:rsidRPr="00BA4F7F">
              <w:rPr>
                <w:b/>
                <w:sz w:val="15"/>
              </w:rPr>
              <w:t>Usługi komercyjne</w:t>
            </w:r>
          </w:p>
        </w:tc>
        <w:tc>
          <w:tcPr>
            <w:tcW w:w="1152" w:type="dxa"/>
            <w:shd w:val="clear" w:color="auto" w:fill="F7F7F7"/>
            <w:tcMar>
              <w:top w:w="60" w:type="dxa"/>
              <w:left w:w="70" w:type="dxa"/>
              <w:bottom w:w="60" w:type="dxa"/>
              <w:right w:w="70" w:type="dxa"/>
            </w:tcMar>
            <w:vAlign w:val="center"/>
          </w:tcPr>
          <w:p w14:paraId="3B97B0CB" w14:textId="77777777" w:rsidR="002C59F5" w:rsidRDefault="00000000">
            <w:r>
              <w:t>86,3</w:t>
            </w:r>
          </w:p>
        </w:tc>
        <w:tc>
          <w:tcPr>
            <w:tcW w:w="2160" w:type="dxa"/>
            <w:shd w:val="clear" w:color="auto" w:fill="F7F7F7"/>
            <w:tcMar>
              <w:top w:w="60" w:type="dxa"/>
              <w:left w:w="70" w:type="dxa"/>
              <w:bottom w:w="60" w:type="dxa"/>
              <w:right w:w="70" w:type="dxa"/>
            </w:tcMar>
            <w:vAlign w:val="center"/>
          </w:tcPr>
          <w:p w14:paraId="45663B6E" w14:textId="77777777" w:rsidR="002C59F5" w:rsidRDefault="00000000">
            <w:r>
              <w:t>wysoka odporność / silna zdolność</w:t>
            </w:r>
          </w:p>
        </w:tc>
      </w:tr>
      <w:tr w:rsidR="00843C23" w:rsidRPr="00BA4F7F" w14:paraId="2BB88577" w14:textId="77777777">
        <w:trPr>
          <w:cantSplit/>
          <w:jc w:val="center"/>
        </w:trPr>
        <w:tc>
          <w:tcPr>
            <w:tcW w:w="6192" w:type="dxa"/>
            <w:tcMar>
              <w:top w:w="60" w:type="dxa"/>
              <w:left w:w="70" w:type="dxa"/>
              <w:bottom w:w="60" w:type="dxa"/>
              <w:right w:w="70" w:type="dxa"/>
            </w:tcMar>
            <w:vAlign w:val="center"/>
          </w:tcPr>
          <w:p w14:paraId="4B02A11E" w14:textId="77777777" w:rsidR="00843C23" w:rsidRPr="00BA4F7F" w:rsidRDefault="00000000">
            <w:pPr>
              <w:jc w:val="left"/>
            </w:pPr>
            <w:r w:rsidRPr="00BA4F7F">
              <w:rPr>
                <w:b/>
                <w:sz w:val="15"/>
              </w:rPr>
              <w:t>F-35 Harpia i FA-50</w:t>
            </w:r>
          </w:p>
        </w:tc>
        <w:tc>
          <w:tcPr>
            <w:tcW w:w="1152" w:type="dxa"/>
            <w:tcMar>
              <w:top w:w="60" w:type="dxa"/>
              <w:left w:w="70" w:type="dxa"/>
              <w:bottom w:w="60" w:type="dxa"/>
              <w:right w:w="70" w:type="dxa"/>
            </w:tcMar>
            <w:vAlign w:val="center"/>
          </w:tcPr>
          <w:p w14:paraId="3EEBE76C" w14:textId="77777777" w:rsidR="002C59F5" w:rsidRDefault="00000000">
            <w:r>
              <w:t>86,3</w:t>
            </w:r>
          </w:p>
        </w:tc>
        <w:tc>
          <w:tcPr>
            <w:tcW w:w="2160" w:type="dxa"/>
            <w:tcMar>
              <w:top w:w="60" w:type="dxa"/>
              <w:left w:w="70" w:type="dxa"/>
              <w:bottom w:w="60" w:type="dxa"/>
              <w:right w:w="70" w:type="dxa"/>
            </w:tcMar>
            <w:vAlign w:val="center"/>
          </w:tcPr>
          <w:p w14:paraId="7B19E6CF" w14:textId="77777777" w:rsidR="002C59F5" w:rsidRDefault="00000000">
            <w:r>
              <w:t>wysoka odporność / silna zdolność</w:t>
            </w:r>
          </w:p>
        </w:tc>
      </w:tr>
      <w:tr w:rsidR="00843C23" w:rsidRPr="00BA4F7F" w14:paraId="1022EC5C" w14:textId="77777777">
        <w:trPr>
          <w:cantSplit/>
          <w:jc w:val="center"/>
        </w:trPr>
        <w:tc>
          <w:tcPr>
            <w:tcW w:w="6192" w:type="dxa"/>
            <w:shd w:val="clear" w:color="auto" w:fill="F7F7F7"/>
            <w:tcMar>
              <w:top w:w="60" w:type="dxa"/>
              <w:left w:w="70" w:type="dxa"/>
              <w:bottom w:w="60" w:type="dxa"/>
              <w:right w:w="70" w:type="dxa"/>
            </w:tcMar>
            <w:vAlign w:val="center"/>
          </w:tcPr>
          <w:p w14:paraId="60E50038" w14:textId="77777777" w:rsidR="00843C23" w:rsidRPr="00BA4F7F" w:rsidRDefault="00000000">
            <w:pPr>
              <w:jc w:val="left"/>
            </w:pPr>
            <w:r w:rsidRPr="00BA4F7F">
              <w:rPr>
                <w:b/>
                <w:sz w:val="15"/>
              </w:rPr>
              <w:t>Kolejowy dostęp do portów Gdańsk i Gdynia</w:t>
            </w:r>
          </w:p>
        </w:tc>
        <w:tc>
          <w:tcPr>
            <w:tcW w:w="1152" w:type="dxa"/>
            <w:shd w:val="clear" w:color="auto" w:fill="F7F7F7"/>
            <w:tcMar>
              <w:top w:w="60" w:type="dxa"/>
              <w:left w:w="70" w:type="dxa"/>
              <w:bottom w:w="60" w:type="dxa"/>
              <w:right w:w="70" w:type="dxa"/>
            </w:tcMar>
            <w:vAlign w:val="center"/>
          </w:tcPr>
          <w:p w14:paraId="4C4643F4" w14:textId="77777777" w:rsidR="002C59F5" w:rsidRDefault="00000000">
            <w:r>
              <w:t>85,0</w:t>
            </w:r>
          </w:p>
        </w:tc>
        <w:tc>
          <w:tcPr>
            <w:tcW w:w="2160" w:type="dxa"/>
            <w:shd w:val="clear" w:color="auto" w:fill="F7F7F7"/>
            <w:tcMar>
              <w:top w:w="60" w:type="dxa"/>
              <w:left w:w="70" w:type="dxa"/>
              <w:bottom w:w="60" w:type="dxa"/>
              <w:right w:w="70" w:type="dxa"/>
            </w:tcMar>
            <w:vAlign w:val="center"/>
          </w:tcPr>
          <w:p w14:paraId="3EA9B8CA" w14:textId="77777777" w:rsidR="002C59F5" w:rsidRDefault="00000000">
            <w:r>
              <w:t>wysoka odporność / silna zdolność</w:t>
            </w:r>
          </w:p>
        </w:tc>
      </w:tr>
      <w:tr w:rsidR="00843C23" w:rsidRPr="00BA4F7F" w14:paraId="78DE16CD" w14:textId="77777777">
        <w:trPr>
          <w:cantSplit/>
          <w:jc w:val="center"/>
        </w:trPr>
        <w:tc>
          <w:tcPr>
            <w:tcW w:w="6192" w:type="dxa"/>
            <w:tcMar>
              <w:top w:w="60" w:type="dxa"/>
              <w:left w:w="70" w:type="dxa"/>
              <w:bottom w:w="60" w:type="dxa"/>
              <w:right w:w="70" w:type="dxa"/>
            </w:tcMar>
            <w:vAlign w:val="center"/>
          </w:tcPr>
          <w:p w14:paraId="26D24A22" w14:textId="77777777" w:rsidR="00843C23" w:rsidRPr="00BA4F7F" w:rsidRDefault="00000000">
            <w:pPr>
              <w:jc w:val="left"/>
            </w:pPr>
            <w:proofErr w:type="spellStart"/>
            <w:r w:rsidRPr="00BA4F7F">
              <w:rPr>
                <w:b/>
                <w:sz w:val="15"/>
              </w:rPr>
              <w:t>Gladius</w:t>
            </w:r>
            <w:proofErr w:type="spellEnd"/>
            <w:r w:rsidRPr="00BA4F7F">
              <w:rPr>
                <w:b/>
                <w:sz w:val="15"/>
              </w:rPr>
              <w:t xml:space="preserve">, </w:t>
            </w:r>
            <w:proofErr w:type="spellStart"/>
            <w:r w:rsidRPr="00BA4F7F">
              <w:rPr>
                <w:b/>
                <w:sz w:val="15"/>
              </w:rPr>
              <w:t>FlyEye</w:t>
            </w:r>
            <w:proofErr w:type="spellEnd"/>
            <w:r w:rsidRPr="00BA4F7F">
              <w:rPr>
                <w:b/>
                <w:sz w:val="15"/>
              </w:rPr>
              <w:t xml:space="preserve">, </w:t>
            </w:r>
            <w:proofErr w:type="spellStart"/>
            <w:r w:rsidRPr="00BA4F7F">
              <w:rPr>
                <w:b/>
                <w:sz w:val="15"/>
              </w:rPr>
              <w:t>Warmate</w:t>
            </w:r>
            <w:proofErr w:type="spellEnd"/>
            <w:r w:rsidRPr="00BA4F7F">
              <w:rPr>
                <w:b/>
                <w:sz w:val="15"/>
              </w:rPr>
              <w:t>, Orlik, Wizjer</w:t>
            </w:r>
          </w:p>
        </w:tc>
        <w:tc>
          <w:tcPr>
            <w:tcW w:w="1152" w:type="dxa"/>
            <w:tcMar>
              <w:top w:w="60" w:type="dxa"/>
              <w:left w:w="70" w:type="dxa"/>
              <w:bottom w:w="60" w:type="dxa"/>
              <w:right w:w="70" w:type="dxa"/>
            </w:tcMar>
            <w:vAlign w:val="center"/>
          </w:tcPr>
          <w:p w14:paraId="6C72C37B" w14:textId="77777777" w:rsidR="002C59F5" w:rsidRDefault="00000000">
            <w:r>
              <w:t>83,8</w:t>
            </w:r>
          </w:p>
        </w:tc>
        <w:tc>
          <w:tcPr>
            <w:tcW w:w="2160" w:type="dxa"/>
            <w:tcMar>
              <w:top w:w="60" w:type="dxa"/>
              <w:left w:w="70" w:type="dxa"/>
              <w:bottom w:w="60" w:type="dxa"/>
              <w:right w:w="70" w:type="dxa"/>
            </w:tcMar>
            <w:vAlign w:val="center"/>
          </w:tcPr>
          <w:p w14:paraId="09C22A51" w14:textId="77777777" w:rsidR="002C59F5" w:rsidRDefault="00000000">
            <w:r>
              <w:t>wysoka odporność / silna zdolność</w:t>
            </w:r>
          </w:p>
        </w:tc>
      </w:tr>
      <w:tr w:rsidR="00843C23" w:rsidRPr="00BA4F7F" w14:paraId="0503B99D" w14:textId="77777777">
        <w:trPr>
          <w:cantSplit/>
          <w:jc w:val="center"/>
        </w:trPr>
        <w:tc>
          <w:tcPr>
            <w:tcW w:w="6192" w:type="dxa"/>
            <w:shd w:val="clear" w:color="auto" w:fill="F7F7F7"/>
            <w:tcMar>
              <w:top w:w="60" w:type="dxa"/>
              <w:left w:w="70" w:type="dxa"/>
              <w:bottom w:w="60" w:type="dxa"/>
              <w:right w:w="70" w:type="dxa"/>
            </w:tcMar>
            <w:vAlign w:val="center"/>
          </w:tcPr>
          <w:p w14:paraId="7B1DAB35" w14:textId="77777777" w:rsidR="00843C23" w:rsidRPr="00BA4F7F" w:rsidRDefault="00000000">
            <w:pPr>
              <w:jc w:val="left"/>
            </w:pPr>
            <w:r w:rsidRPr="00BA4F7F">
              <w:rPr>
                <w:b/>
                <w:sz w:val="15"/>
              </w:rPr>
              <w:t>AW149 i Apache AH-64E</w:t>
            </w:r>
          </w:p>
        </w:tc>
        <w:tc>
          <w:tcPr>
            <w:tcW w:w="1152" w:type="dxa"/>
            <w:shd w:val="clear" w:color="auto" w:fill="F7F7F7"/>
            <w:tcMar>
              <w:top w:w="60" w:type="dxa"/>
              <w:left w:w="70" w:type="dxa"/>
              <w:bottom w:w="60" w:type="dxa"/>
              <w:right w:w="70" w:type="dxa"/>
            </w:tcMar>
            <w:vAlign w:val="center"/>
          </w:tcPr>
          <w:p w14:paraId="3C3E1075" w14:textId="77777777" w:rsidR="002C59F5" w:rsidRDefault="00000000">
            <w:r>
              <w:t>77,5</w:t>
            </w:r>
          </w:p>
        </w:tc>
        <w:tc>
          <w:tcPr>
            <w:tcW w:w="2160" w:type="dxa"/>
            <w:shd w:val="clear" w:color="auto" w:fill="F7F7F7"/>
            <w:tcMar>
              <w:top w:w="60" w:type="dxa"/>
              <w:left w:w="70" w:type="dxa"/>
              <w:bottom w:w="60" w:type="dxa"/>
              <w:right w:w="70" w:type="dxa"/>
            </w:tcMar>
            <w:vAlign w:val="center"/>
          </w:tcPr>
          <w:p w14:paraId="340A2A40" w14:textId="77777777" w:rsidR="002C59F5" w:rsidRDefault="00000000">
            <w:r>
              <w:t>umiarkowanie dobra odporność</w:t>
            </w:r>
          </w:p>
        </w:tc>
      </w:tr>
      <w:tr w:rsidR="00843C23" w:rsidRPr="00BA4F7F" w14:paraId="0C70F695" w14:textId="77777777">
        <w:trPr>
          <w:cantSplit/>
          <w:jc w:val="center"/>
        </w:trPr>
        <w:tc>
          <w:tcPr>
            <w:tcW w:w="6192" w:type="dxa"/>
            <w:tcMar>
              <w:top w:w="60" w:type="dxa"/>
              <w:left w:w="70" w:type="dxa"/>
              <w:bottom w:w="60" w:type="dxa"/>
              <w:right w:w="70" w:type="dxa"/>
            </w:tcMar>
            <w:vAlign w:val="center"/>
          </w:tcPr>
          <w:p w14:paraId="7AF45FC6" w14:textId="77777777" w:rsidR="00843C23" w:rsidRPr="00BA4F7F" w:rsidRDefault="00000000">
            <w:pPr>
              <w:jc w:val="left"/>
            </w:pPr>
            <w:r w:rsidRPr="00BA4F7F">
              <w:rPr>
                <w:b/>
                <w:sz w:val="15"/>
              </w:rPr>
              <w:t>Terminal FSRU w Zatoce Gdańskiej</w:t>
            </w:r>
          </w:p>
        </w:tc>
        <w:tc>
          <w:tcPr>
            <w:tcW w:w="1152" w:type="dxa"/>
            <w:tcMar>
              <w:top w:w="60" w:type="dxa"/>
              <w:left w:w="70" w:type="dxa"/>
              <w:bottom w:w="60" w:type="dxa"/>
              <w:right w:w="70" w:type="dxa"/>
            </w:tcMar>
            <w:vAlign w:val="center"/>
          </w:tcPr>
          <w:p w14:paraId="0C0B216C" w14:textId="77777777" w:rsidR="002C59F5" w:rsidRDefault="00000000">
            <w:r>
              <w:t>75,0</w:t>
            </w:r>
          </w:p>
        </w:tc>
        <w:tc>
          <w:tcPr>
            <w:tcW w:w="2160" w:type="dxa"/>
            <w:tcMar>
              <w:top w:w="60" w:type="dxa"/>
              <w:left w:w="70" w:type="dxa"/>
              <w:bottom w:w="60" w:type="dxa"/>
              <w:right w:w="70" w:type="dxa"/>
            </w:tcMar>
            <w:vAlign w:val="center"/>
          </w:tcPr>
          <w:p w14:paraId="220DF4B1" w14:textId="77777777" w:rsidR="002C59F5" w:rsidRDefault="00000000">
            <w:r>
              <w:t>umiarkowanie dobra odporność</w:t>
            </w:r>
          </w:p>
        </w:tc>
      </w:tr>
      <w:tr w:rsidR="00843C23" w:rsidRPr="00BA4F7F" w14:paraId="080AE64E" w14:textId="77777777">
        <w:trPr>
          <w:cantSplit/>
          <w:jc w:val="center"/>
        </w:trPr>
        <w:tc>
          <w:tcPr>
            <w:tcW w:w="6192" w:type="dxa"/>
            <w:shd w:val="clear" w:color="auto" w:fill="F7F7F7"/>
            <w:tcMar>
              <w:top w:w="60" w:type="dxa"/>
              <w:left w:w="70" w:type="dxa"/>
              <w:bottom w:w="60" w:type="dxa"/>
              <w:right w:w="70" w:type="dxa"/>
            </w:tcMar>
            <w:vAlign w:val="center"/>
          </w:tcPr>
          <w:p w14:paraId="64B06228" w14:textId="77777777" w:rsidR="00843C23" w:rsidRPr="00BA4F7F" w:rsidRDefault="00000000">
            <w:pPr>
              <w:jc w:val="left"/>
            </w:pPr>
            <w:r>
              <w:rPr>
                <w:b/>
                <w:sz w:val="15"/>
              </w:rPr>
              <w:t>Portfel nowych mocy dyspozycyjnych CCGT/OCGT</w:t>
            </w:r>
          </w:p>
        </w:tc>
        <w:tc>
          <w:tcPr>
            <w:tcW w:w="1152" w:type="dxa"/>
            <w:shd w:val="clear" w:color="auto" w:fill="F7F7F7"/>
            <w:tcMar>
              <w:top w:w="60" w:type="dxa"/>
              <w:left w:w="70" w:type="dxa"/>
              <w:bottom w:w="60" w:type="dxa"/>
              <w:right w:w="70" w:type="dxa"/>
            </w:tcMar>
            <w:vAlign w:val="center"/>
          </w:tcPr>
          <w:p w14:paraId="5DB282EE" w14:textId="77777777" w:rsidR="002C59F5" w:rsidRDefault="00000000">
            <w:r>
              <w:t>75,0</w:t>
            </w:r>
          </w:p>
        </w:tc>
        <w:tc>
          <w:tcPr>
            <w:tcW w:w="2160" w:type="dxa"/>
            <w:shd w:val="clear" w:color="auto" w:fill="F7F7F7"/>
            <w:tcMar>
              <w:top w:w="60" w:type="dxa"/>
              <w:left w:w="70" w:type="dxa"/>
              <w:bottom w:w="60" w:type="dxa"/>
              <w:right w:w="70" w:type="dxa"/>
            </w:tcMar>
            <w:vAlign w:val="center"/>
          </w:tcPr>
          <w:p w14:paraId="2455BB9B" w14:textId="77777777" w:rsidR="002C59F5" w:rsidRDefault="00000000">
            <w:r>
              <w:t>umiarkowanie dobra odporność</w:t>
            </w:r>
          </w:p>
        </w:tc>
      </w:tr>
      <w:tr w:rsidR="00843C23" w:rsidRPr="00BA4F7F" w14:paraId="2F7245A9" w14:textId="77777777">
        <w:trPr>
          <w:cantSplit/>
          <w:jc w:val="center"/>
        </w:trPr>
        <w:tc>
          <w:tcPr>
            <w:tcW w:w="6192" w:type="dxa"/>
            <w:tcMar>
              <w:top w:w="60" w:type="dxa"/>
              <w:left w:w="70" w:type="dxa"/>
              <w:bottom w:w="60" w:type="dxa"/>
              <w:right w:w="70" w:type="dxa"/>
            </w:tcMar>
            <w:vAlign w:val="center"/>
          </w:tcPr>
          <w:p w14:paraId="2531EC45" w14:textId="77777777" w:rsidR="00843C23" w:rsidRPr="00BA4F7F" w:rsidRDefault="00000000">
            <w:pPr>
              <w:jc w:val="left"/>
            </w:pPr>
            <w:r>
              <w:rPr>
                <w:b/>
                <w:sz w:val="15"/>
              </w:rPr>
              <w:lastRenderedPageBreak/>
              <w:t xml:space="preserve">Via </w:t>
            </w:r>
            <w:proofErr w:type="spellStart"/>
            <w:r>
              <w:rPr>
                <w:b/>
                <w:sz w:val="15"/>
              </w:rPr>
              <w:t>Carpatia</w:t>
            </w:r>
            <w:proofErr w:type="spellEnd"/>
            <w:r>
              <w:rPr>
                <w:b/>
                <w:sz w:val="15"/>
              </w:rPr>
              <w:t xml:space="preserve"> – S19 Białystok–Lublin–Rzeszów–Barwinek</w:t>
            </w:r>
          </w:p>
        </w:tc>
        <w:tc>
          <w:tcPr>
            <w:tcW w:w="1152" w:type="dxa"/>
            <w:tcMar>
              <w:top w:w="60" w:type="dxa"/>
              <w:left w:w="70" w:type="dxa"/>
              <w:bottom w:w="60" w:type="dxa"/>
              <w:right w:w="70" w:type="dxa"/>
            </w:tcMar>
            <w:vAlign w:val="center"/>
          </w:tcPr>
          <w:p w14:paraId="0741D3CF" w14:textId="77777777" w:rsidR="002C59F5" w:rsidRDefault="00000000">
            <w:r>
              <w:t>73,8</w:t>
            </w:r>
          </w:p>
        </w:tc>
        <w:tc>
          <w:tcPr>
            <w:tcW w:w="2160" w:type="dxa"/>
            <w:tcMar>
              <w:top w:w="60" w:type="dxa"/>
              <w:left w:w="70" w:type="dxa"/>
              <w:bottom w:w="60" w:type="dxa"/>
              <w:right w:w="70" w:type="dxa"/>
            </w:tcMar>
            <w:vAlign w:val="center"/>
          </w:tcPr>
          <w:p w14:paraId="03675D48" w14:textId="77777777" w:rsidR="002C59F5" w:rsidRDefault="00000000">
            <w:r>
              <w:t>umiarkowanie dobra odporność</w:t>
            </w:r>
          </w:p>
        </w:tc>
      </w:tr>
      <w:tr w:rsidR="00843C23" w:rsidRPr="00BA4F7F" w14:paraId="56203728" w14:textId="77777777">
        <w:trPr>
          <w:cantSplit/>
          <w:jc w:val="center"/>
        </w:trPr>
        <w:tc>
          <w:tcPr>
            <w:tcW w:w="6192" w:type="dxa"/>
            <w:shd w:val="clear" w:color="auto" w:fill="F7F7F7"/>
            <w:tcMar>
              <w:top w:w="60" w:type="dxa"/>
              <w:left w:w="70" w:type="dxa"/>
              <w:bottom w:w="60" w:type="dxa"/>
              <w:right w:w="70" w:type="dxa"/>
            </w:tcMar>
            <w:vAlign w:val="center"/>
          </w:tcPr>
          <w:p w14:paraId="4DE72834" w14:textId="77777777" w:rsidR="00843C23" w:rsidRPr="00BA4F7F" w:rsidRDefault="00000000">
            <w:pPr>
              <w:jc w:val="left"/>
            </w:pPr>
            <w:r>
              <w:rPr>
                <w:b/>
                <w:sz w:val="15"/>
              </w:rPr>
              <w:t>Morska energetyka wiatrowa – portfel I fazy</w:t>
            </w:r>
          </w:p>
        </w:tc>
        <w:tc>
          <w:tcPr>
            <w:tcW w:w="1152" w:type="dxa"/>
            <w:shd w:val="clear" w:color="auto" w:fill="F7F7F7"/>
            <w:tcMar>
              <w:top w:w="60" w:type="dxa"/>
              <w:left w:w="70" w:type="dxa"/>
              <w:bottom w:w="60" w:type="dxa"/>
              <w:right w:w="70" w:type="dxa"/>
            </w:tcMar>
            <w:vAlign w:val="center"/>
          </w:tcPr>
          <w:p w14:paraId="37FE3B7E" w14:textId="77777777" w:rsidR="002C59F5" w:rsidRDefault="00000000">
            <w:r>
              <w:t>72,5</w:t>
            </w:r>
          </w:p>
        </w:tc>
        <w:tc>
          <w:tcPr>
            <w:tcW w:w="2160" w:type="dxa"/>
            <w:shd w:val="clear" w:color="auto" w:fill="F7F7F7"/>
            <w:tcMar>
              <w:top w:w="60" w:type="dxa"/>
              <w:left w:w="70" w:type="dxa"/>
              <w:bottom w:w="60" w:type="dxa"/>
              <w:right w:w="70" w:type="dxa"/>
            </w:tcMar>
            <w:vAlign w:val="center"/>
          </w:tcPr>
          <w:p w14:paraId="2F3D1A21" w14:textId="77777777" w:rsidR="002C59F5" w:rsidRDefault="00000000">
            <w:r>
              <w:t>umiarkowanie dobra odporność</w:t>
            </w:r>
          </w:p>
        </w:tc>
      </w:tr>
      <w:tr w:rsidR="00843C23" w:rsidRPr="00BA4F7F" w14:paraId="201C34F0" w14:textId="77777777">
        <w:trPr>
          <w:cantSplit/>
          <w:jc w:val="center"/>
        </w:trPr>
        <w:tc>
          <w:tcPr>
            <w:tcW w:w="6192" w:type="dxa"/>
            <w:tcMar>
              <w:top w:w="60" w:type="dxa"/>
              <w:left w:w="70" w:type="dxa"/>
              <w:bottom w:w="60" w:type="dxa"/>
              <w:right w:w="70" w:type="dxa"/>
            </w:tcMar>
            <w:vAlign w:val="center"/>
          </w:tcPr>
          <w:p w14:paraId="2CF0EB33" w14:textId="77777777" w:rsidR="00843C23" w:rsidRPr="00BA4F7F" w:rsidRDefault="00000000">
            <w:pPr>
              <w:jc w:val="left"/>
            </w:pPr>
            <w:r w:rsidRPr="00BA4F7F">
              <w:rPr>
                <w:b/>
                <w:sz w:val="15"/>
              </w:rPr>
              <w:t xml:space="preserve">Kolejowy dostęp do portów Szczecin–Świnoujście / </w:t>
            </w:r>
            <w:proofErr w:type="spellStart"/>
            <w:r w:rsidRPr="00BA4F7F">
              <w:rPr>
                <w:b/>
                <w:sz w:val="15"/>
              </w:rPr>
              <w:t>Nadodrzanka</w:t>
            </w:r>
            <w:proofErr w:type="spellEnd"/>
            <w:r w:rsidRPr="00BA4F7F">
              <w:rPr>
                <w:b/>
                <w:sz w:val="15"/>
              </w:rPr>
              <w:t xml:space="preserve"> C-E 59</w:t>
            </w:r>
          </w:p>
        </w:tc>
        <w:tc>
          <w:tcPr>
            <w:tcW w:w="1152" w:type="dxa"/>
            <w:tcMar>
              <w:top w:w="60" w:type="dxa"/>
              <w:left w:w="70" w:type="dxa"/>
              <w:bottom w:w="60" w:type="dxa"/>
              <w:right w:w="70" w:type="dxa"/>
            </w:tcMar>
            <w:vAlign w:val="center"/>
          </w:tcPr>
          <w:p w14:paraId="317BCC0F" w14:textId="77777777" w:rsidR="002C59F5" w:rsidRDefault="00000000">
            <w:r>
              <w:t>72,5</w:t>
            </w:r>
          </w:p>
        </w:tc>
        <w:tc>
          <w:tcPr>
            <w:tcW w:w="2160" w:type="dxa"/>
            <w:tcMar>
              <w:top w:w="60" w:type="dxa"/>
              <w:left w:w="70" w:type="dxa"/>
              <w:bottom w:w="60" w:type="dxa"/>
              <w:right w:w="70" w:type="dxa"/>
            </w:tcMar>
            <w:vAlign w:val="center"/>
          </w:tcPr>
          <w:p w14:paraId="75502EB1" w14:textId="77777777" w:rsidR="002C59F5" w:rsidRDefault="00000000">
            <w:r>
              <w:t>umiarkowanie dobra odporność</w:t>
            </w:r>
          </w:p>
        </w:tc>
      </w:tr>
      <w:tr w:rsidR="00843C23" w:rsidRPr="00BA4F7F" w14:paraId="058302E5" w14:textId="77777777">
        <w:trPr>
          <w:cantSplit/>
          <w:jc w:val="center"/>
        </w:trPr>
        <w:tc>
          <w:tcPr>
            <w:tcW w:w="6192" w:type="dxa"/>
            <w:shd w:val="clear" w:color="auto" w:fill="F7F7F7"/>
            <w:tcMar>
              <w:top w:w="60" w:type="dxa"/>
              <w:left w:w="70" w:type="dxa"/>
              <w:bottom w:w="60" w:type="dxa"/>
              <w:right w:w="70" w:type="dxa"/>
            </w:tcMar>
            <w:vAlign w:val="center"/>
          </w:tcPr>
          <w:p w14:paraId="75279FBE" w14:textId="77777777" w:rsidR="00843C23" w:rsidRPr="00BA4F7F" w:rsidRDefault="00000000">
            <w:pPr>
              <w:jc w:val="left"/>
            </w:pPr>
            <w:r>
              <w:rPr>
                <w:b/>
                <w:sz w:val="15"/>
              </w:rPr>
              <w:t>Port Zewnętrzny w Świnoujściu / Przylądek Pomerania</w:t>
            </w:r>
          </w:p>
        </w:tc>
        <w:tc>
          <w:tcPr>
            <w:tcW w:w="1152" w:type="dxa"/>
            <w:shd w:val="clear" w:color="auto" w:fill="F7F7F7"/>
            <w:tcMar>
              <w:top w:w="60" w:type="dxa"/>
              <w:left w:w="70" w:type="dxa"/>
              <w:bottom w:w="60" w:type="dxa"/>
              <w:right w:w="70" w:type="dxa"/>
            </w:tcMar>
            <w:vAlign w:val="center"/>
          </w:tcPr>
          <w:p w14:paraId="0C2843F2" w14:textId="77777777" w:rsidR="002C59F5" w:rsidRDefault="00000000">
            <w:r>
              <w:t>70,0</w:t>
            </w:r>
          </w:p>
        </w:tc>
        <w:tc>
          <w:tcPr>
            <w:tcW w:w="2160" w:type="dxa"/>
            <w:shd w:val="clear" w:color="auto" w:fill="F7F7F7"/>
            <w:tcMar>
              <w:top w:w="60" w:type="dxa"/>
              <w:left w:w="70" w:type="dxa"/>
              <w:bottom w:w="60" w:type="dxa"/>
              <w:right w:w="70" w:type="dxa"/>
            </w:tcMar>
            <w:vAlign w:val="center"/>
          </w:tcPr>
          <w:p w14:paraId="7FC36191" w14:textId="77777777" w:rsidR="002C59F5" w:rsidRDefault="00000000">
            <w:r>
              <w:t>umiarkowanie dobra odporność</w:t>
            </w:r>
          </w:p>
        </w:tc>
      </w:tr>
      <w:tr w:rsidR="00843C23" w:rsidRPr="00BA4F7F" w14:paraId="2B90800B" w14:textId="77777777">
        <w:trPr>
          <w:cantSplit/>
          <w:jc w:val="center"/>
        </w:trPr>
        <w:tc>
          <w:tcPr>
            <w:tcW w:w="6192" w:type="dxa"/>
            <w:tcMar>
              <w:top w:w="60" w:type="dxa"/>
              <w:left w:w="70" w:type="dxa"/>
              <w:bottom w:w="60" w:type="dxa"/>
              <w:right w:w="70" w:type="dxa"/>
            </w:tcMar>
            <w:vAlign w:val="center"/>
          </w:tcPr>
          <w:p w14:paraId="0E12D18D" w14:textId="77777777" w:rsidR="00843C23" w:rsidRPr="00BA4F7F" w:rsidRDefault="00000000">
            <w:pPr>
              <w:jc w:val="left"/>
            </w:pPr>
            <w:r>
              <w:rPr>
                <w:b/>
                <w:sz w:val="15"/>
              </w:rPr>
              <w:t>Autostrada A2 Warszawa–Siedlce–Biała Podlaska–Kukuryki</w:t>
            </w:r>
          </w:p>
        </w:tc>
        <w:tc>
          <w:tcPr>
            <w:tcW w:w="1152" w:type="dxa"/>
            <w:tcMar>
              <w:top w:w="60" w:type="dxa"/>
              <w:left w:w="70" w:type="dxa"/>
              <w:bottom w:w="60" w:type="dxa"/>
              <w:right w:w="70" w:type="dxa"/>
            </w:tcMar>
            <w:vAlign w:val="center"/>
          </w:tcPr>
          <w:p w14:paraId="02FDD735" w14:textId="77777777" w:rsidR="002C59F5" w:rsidRDefault="00000000">
            <w:r>
              <w:t>67,5</w:t>
            </w:r>
          </w:p>
        </w:tc>
        <w:tc>
          <w:tcPr>
            <w:tcW w:w="2160" w:type="dxa"/>
            <w:tcMar>
              <w:top w:w="60" w:type="dxa"/>
              <w:left w:w="70" w:type="dxa"/>
              <w:bottom w:w="60" w:type="dxa"/>
              <w:right w:w="70" w:type="dxa"/>
            </w:tcMar>
            <w:vAlign w:val="center"/>
          </w:tcPr>
          <w:p w14:paraId="5F35BC95" w14:textId="77777777" w:rsidR="002C59F5" w:rsidRDefault="00000000">
            <w:r>
              <w:t>umiarkowanie dobra odporność</w:t>
            </w:r>
          </w:p>
        </w:tc>
      </w:tr>
      <w:tr w:rsidR="00843C23" w:rsidRPr="00BA4F7F" w14:paraId="5AC2FD4E" w14:textId="77777777">
        <w:trPr>
          <w:cantSplit/>
          <w:jc w:val="center"/>
        </w:trPr>
        <w:tc>
          <w:tcPr>
            <w:tcW w:w="6192" w:type="dxa"/>
            <w:shd w:val="clear" w:color="auto" w:fill="F7F7F7"/>
            <w:tcMar>
              <w:top w:w="60" w:type="dxa"/>
              <w:left w:w="70" w:type="dxa"/>
              <w:bottom w:w="60" w:type="dxa"/>
              <w:right w:w="70" w:type="dxa"/>
            </w:tcMar>
            <w:vAlign w:val="center"/>
          </w:tcPr>
          <w:p w14:paraId="618CDD4B" w14:textId="77777777" w:rsidR="00843C23" w:rsidRPr="00BA4F7F" w:rsidRDefault="00000000">
            <w:pPr>
              <w:jc w:val="left"/>
            </w:pPr>
            <w:r>
              <w:rPr>
                <w:b/>
                <w:sz w:val="15"/>
              </w:rPr>
              <w:t>Usługi publiczne</w:t>
            </w:r>
          </w:p>
        </w:tc>
        <w:tc>
          <w:tcPr>
            <w:tcW w:w="1152" w:type="dxa"/>
            <w:shd w:val="clear" w:color="auto" w:fill="F7F7F7"/>
            <w:tcMar>
              <w:top w:w="60" w:type="dxa"/>
              <w:left w:w="70" w:type="dxa"/>
              <w:bottom w:w="60" w:type="dxa"/>
              <w:right w:w="70" w:type="dxa"/>
            </w:tcMar>
            <w:vAlign w:val="center"/>
          </w:tcPr>
          <w:p w14:paraId="74126208" w14:textId="77777777" w:rsidR="002C59F5" w:rsidRDefault="00000000">
            <w:r>
              <w:t>67,5</w:t>
            </w:r>
          </w:p>
        </w:tc>
        <w:tc>
          <w:tcPr>
            <w:tcW w:w="2160" w:type="dxa"/>
            <w:shd w:val="clear" w:color="auto" w:fill="F7F7F7"/>
            <w:tcMar>
              <w:top w:w="60" w:type="dxa"/>
              <w:left w:w="70" w:type="dxa"/>
              <w:bottom w:w="60" w:type="dxa"/>
              <w:right w:w="70" w:type="dxa"/>
            </w:tcMar>
            <w:vAlign w:val="center"/>
          </w:tcPr>
          <w:p w14:paraId="0047BA4E" w14:textId="77777777" w:rsidR="002C59F5" w:rsidRDefault="00000000">
            <w:r>
              <w:t>umiarkowanie dobra odporność</w:t>
            </w:r>
          </w:p>
        </w:tc>
      </w:tr>
      <w:tr w:rsidR="00843C23" w:rsidRPr="00BA4F7F" w14:paraId="1809396C" w14:textId="77777777">
        <w:trPr>
          <w:cantSplit/>
          <w:jc w:val="center"/>
        </w:trPr>
        <w:tc>
          <w:tcPr>
            <w:tcW w:w="6192" w:type="dxa"/>
            <w:tcMar>
              <w:top w:w="60" w:type="dxa"/>
              <w:left w:w="70" w:type="dxa"/>
              <w:bottom w:w="60" w:type="dxa"/>
              <w:right w:w="70" w:type="dxa"/>
            </w:tcMar>
            <w:vAlign w:val="center"/>
          </w:tcPr>
          <w:p w14:paraId="057C714F" w14:textId="77777777" w:rsidR="00843C23" w:rsidRPr="00BA4F7F" w:rsidRDefault="00000000">
            <w:pPr>
              <w:jc w:val="left"/>
            </w:pPr>
            <w:proofErr w:type="spellStart"/>
            <w:r>
              <w:rPr>
                <w:b/>
                <w:sz w:val="15"/>
              </w:rPr>
              <w:t>Rail</w:t>
            </w:r>
            <w:proofErr w:type="spellEnd"/>
            <w:r>
              <w:rPr>
                <w:b/>
                <w:sz w:val="15"/>
              </w:rPr>
              <w:t xml:space="preserve"> </w:t>
            </w:r>
            <w:proofErr w:type="spellStart"/>
            <w:r>
              <w:rPr>
                <w:b/>
                <w:sz w:val="15"/>
              </w:rPr>
              <w:t>Baltica</w:t>
            </w:r>
            <w:proofErr w:type="spellEnd"/>
            <w:r>
              <w:rPr>
                <w:b/>
                <w:sz w:val="15"/>
              </w:rPr>
              <w:t xml:space="preserve"> Polska – E75 Warszawa–Białystok–Ełk–Trakiszki</w:t>
            </w:r>
          </w:p>
        </w:tc>
        <w:tc>
          <w:tcPr>
            <w:tcW w:w="1152" w:type="dxa"/>
            <w:tcMar>
              <w:top w:w="60" w:type="dxa"/>
              <w:left w:w="70" w:type="dxa"/>
              <w:bottom w:w="60" w:type="dxa"/>
              <w:right w:w="70" w:type="dxa"/>
            </w:tcMar>
            <w:vAlign w:val="center"/>
          </w:tcPr>
          <w:p w14:paraId="121388A4" w14:textId="77777777" w:rsidR="002C59F5" w:rsidRDefault="00000000">
            <w:r>
              <w:t>66,3</w:t>
            </w:r>
          </w:p>
        </w:tc>
        <w:tc>
          <w:tcPr>
            <w:tcW w:w="2160" w:type="dxa"/>
            <w:tcMar>
              <w:top w:w="60" w:type="dxa"/>
              <w:left w:w="70" w:type="dxa"/>
              <w:bottom w:w="60" w:type="dxa"/>
              <w:right w:w="70" w:type="dxa"/>
            </w:tcMar>
            <w:vAlign w:val="center"/>
          </w:tcPr>
          <w:p w14:paraId="126DC41D" w14:textId="77777777" w:rsidR="002C59F5" w:rsidRDefault="00000000">
            <w:r>
              <w:t>umiarkowanie dobra odporność</w:t>
            </w:r>
          </w:p>
        </w:tc>
      </w:tr>
      <w:tr w:rsidR="00843C23" w:rsidRPr="00BA4F7F" w14:paraId="7B38BDAC" w14:textId="77777777">
        <w:trPr>
          <w:cantSplit/>
          <w:jc w:val="center"/>
        </w:trPr>
        <w:tc>
          <w:tcPr>
            <w:tcW w:w="6192" w:type="dxa"/>
            <w:shd w:val="clear" w:color="auto" w:fill="F7F7F7"/>
            <w:tcMar>
              <w:top w:w="60" w:type="dxa"/>
              <w:left w:w="70" w:type="dxa"/>
              <w:bottom w:w="60" w:type="dxa"/>
              <w:right w:w="70" w:type="dxa"/>
            </w:tcMar>
            <w:vAlign w:val="center"/>
          </w:tcPr>
          <w:p w14:paraId="34EC9025" w14:textId="77777777" w:rsidR="00843C23" w:rsidRPr="00BA4F7F" w:rsidRDefault="00000000">
            <w:pPr>
              <w:jc w:val="left"/>
            </w:pPr>
            <w:r>
              <w:rPr>
                <w:b/>
                <w:sz w:val="15"/>
              </w:rPr>
              <w:t>Rozbudowa pojemności i mocy odbioru podziemnych magazynów gazu</w:t>
            </w:r>
          </w:p>
        </w:tc>
        <w:tc>
          <w:tcPr>
            <w:tcW w:w="1152" w:type="dxa"/>
            <w:shd w:val="clear" w:color="auto" w:fill="F7F7F7"/>
            <w:tcMar>
              <w:top w:w="60" w:type="dxa"/>
              <w:left w:w="70" w:type="dxa"/>
              <w:bottom w:w="60" w:type="dxa"/>
              <w:right w:w="70" w:type="dxa"/>
            </w:tcMar>
            <w:vAlign w:val="center"/>
          </w:tcPr>
          <w:p w14:paraId="72629FD9" w14:textId="77777777" w:rsidR="002C59F5" w:rsidRDefault="00000000">
            <w:r>
              <w:t>65,0</w:t>
            </w:r>
          </w:p>
        </w:tc>
        <w:tc>
          <w:tcPr>
            <w:tcW w:w="2160" w:type="dxa"/>
            <w:shd w:val="clear" w:color="auto" w:fill="F7F7F7"/>
            <w:tcMar>
              <w:top w:w="60" w:type="dxa"/>
              <w:left w:w="70" w:type="dxa"/>
              <w:bottom w:w="60" w:type="dxa"/>
              <w:right w:w="70" w:type="dxa"/>
            </w:tcMar>
            <w:vAlign w:val="center"/>
          </w:tcPr>
          <w:p w14:paraId="4C9B41D1" w14:textId="77777777" w:rsidR="002C59F5" w:rsidRDefault="00000000">
            <w:r>
              <w:t>umiarkowanie dobra odporność</w:t>
            </w:r>
          </w:p>
        </w:tc>
      </w:tr>
      <w:tr w:rsidR="00843C23" w:rsidRPr="00BA4F7F" w14:paraId="748763E1" w14:textId="77777777">
        <w:trPr>
          <w:cantSplit/>
          <w:jc w:val="center"/>
        </w:trPr>
        <w:tc>
          <w:tcPr>
            <w:tcW w:w="6192" w:type="dxa"/>
            <w:tcMar>
              <w:top w:w="60" w:type="dxa"/>
              <w:left w:w="70" w:type="dxa"/>
              <w:bottom w:w="60" w:type="dxa"/>
              <w:right w:w="70" w:type="dxa"/>
            </w:tcMar>
            <w:vAlign w:val="center"/>
          </w:tcPr>
          <w:p w14:paraId="4AD16C04" w14:textId="77777777" w:rsidR="00843C23" w:rsidRPr="00BA4F7F" w:rsidRDefault="00000000">
            <w:pPr>
              <w:jc w:val="left"/>
            </w:pPr>
            <w:r>
              <w:rPr>
                <w:b/>
                <w:sz w:val="15"/>
              </w:rPr>
              <w:t>Pierwsza elektrownia jądrowa Lubiatowo-Kopalino / Choczewo</w:t>
            </w:r>
          </w:p>
        </w:tc>
        <w:tc>
          <w:tcPr>
            <w:tcW w:w="1152" w:type="dxa"/>
            <w:tcMar>
              <w:top w:w="60" w:type="dxa"/>
              <w:left w:w="70" w:type="dxa"/>
              <w:bottom w:w="60" w:type="dxa"/>
              <w:right w:w="70" w:type="dxa"/>
            </w:tcMar>
            <w:vAlign w:val="center"/>
          </w:tcPr>
          <w:p w14:paraId="5F29AB18" w14:textId="77777777" w:rsidR="002C59F5" w:rsidRDefault="00000000">
            <w:r>
              <w:t>62,5</w:t>
            </w:r>
          </w:p>
        </w:tc>
        <w:tc>
          <w:tcPr>
            <w:tcW w:w="2160" w:type="dxa"/>
            <w:tcMar>
              <w:top w:w="60" w:type="dxa"/>
              <w:left w:w="70" w:type="dxa"/>
              <w:bottom w:w="60" w:type="dxa"/>
              <w:right w:w="70" w:type="dxa"/>
            </w:tcMar>
            <w:vAlign w:val="center"/>
          </w:tcPr>
          <w:p w14:paraId="5C95A929" w14:textId="77777777" w:rsidR="002C59F5" w:rsidRDefault="00000000">
            <w:r>
              <w:t>umiarkowanie dobra odporność</w:t>
            </w:r>
          </w:p>
        </w:tc>
      </w:tr>
      <w:tr w:rsidR="00843C23" w:rsidRPr="00BA4F7F" w14:paraId="3EBF0DEC" w14:textId="77777777">
        <w:trPr>
          <w:cantSplit/>
          <w:jc w:val="center"/>
        </w:trPr>
        <w:tc>
          <w:tcPr>
            <w:tcW w:w="6192" w:type="dxa"/>
            <w:shd w:val="clear" w:color="auto" w:fill="F7F7F7"/>
            <w:tcMar>
              <w:top w:w="60" w:type="dxa"/>
              <w:left w:w="70" w:type="dxa"/>
              <w:bottom w:w="60" w:type="dxa"/>
              <w:right w:w="70" w:type="dxa"/>
            </w:tcMar>
            <w:vAlign w:val="center"/>
          </w:tcPr>
          <w:p w14:paraId="090FB4B7" w14:textId="77777777" w:rsidR="00843C23" w:rsidRPr="00BA4F7F" w:rsidRDefault="00000000">
            <w:pPr>
              <w:jc w:val="left"/>
            </w:pPr>
            <w:r>
              <w:rPr>
                <w:b/>
                <w:sz w:val="15"/>
              </w:rPr>
              <w:t>Rozwój sieci przesyłowych, dystrybucyjnych i elastyczności KSE</w:t>
            </w:r>
          </w:p>
        </w:tc>
        <w:tc>
          <w:tcPr>
            <w:tcW w:w="1152" w:type="dxa"/>
            <w:shd w:val="clear" w:color="auto" w:fill="F7F7F7"/>
            <w:tcMar>
              <w:top w:w="60" w:type="dxa"/>
              <w:left w:w="70" w:type="dxa"/>
              <w:bottom w:w="60" w:type="dxa"/>
              <w:right w:w="70" w:type="dxa"/>
            </w:tcMar>
            <w:vAlign w:val="center"/>
          </w:tcPr>
          <w:p w14:paraId="3A947B44" w14:textId="77777777" w:rsidR="002C59F5" w:rsidRDefault="00000000">
            <w:r>
              <w:t>61,3</w:t>
            </w:r>
          </w:p>
        </w:tc>
        <w:tc>
          <w:tcPr>
            <w:tcW w:w="2160" w:type="dxa"/>
            <w:shd w:val="clear" w:color="auto" w:fill="F7F7F7"/>
            <w:tcMar>
              <w:top w:w="60" w:type="dxa"/>
              <w:left w:w="70" w:type="dxa"/>
              <w:bottom w:w="60" w:type="dxa"/>
              <w:right w:w="70" w:type="dxa"/>
            </w:tcMar>
            <w:vAlign w:val="center"/>
          </w:tcPr>
          <w:p w14:paraId="6D49AEAD" w14:textId="77777777" w:rsidR="002C59F5" w:rsidRDefault="00000000">
            <w:r>
              <w:t>umiarkowanie dobra odporność</w:t>
            </w:r>
          </w:p>
        </w:tc>
      </w:tr>
      <w:tr w:rsidR="00843C23" w:rsidRPr="00BA4F7F" w14:paraId="17B93976" w14:textId="77777777">
        <w:trPr>
          <w:cantSplit/>
          <w:jc w:val="center"/>
        </w:trPr>
        <w:tc>
          <w:tcPr>
            <w:tcW w:w="6192" w:type="dxa"/>
            <w:tcMar>
              <w:top w:w="60" w:type="dxa"/>
              <w:left w:w="70" w:type="dxa"/>
              <w:bottom w:w="60" w:type="dxa"/>
              <w:right w:w="70" w:type="dxa"/>
            </w:tcMar>
            <w:vAlign w:val="center"/>
          </w:tcPr>
          <w:p w14:paraId="4285DFF1" w14:textId="77777777" w:rsidR="00843C23" w:rsidRPr="00BA4F7F" w:rsidRDefault="00000000">
            <w:pPr>
              <w:jc w:val="left"/>
            </w:pPr>
            <w:r>
              <w:rPr>
                <w:b/>
                <w:sz w:val="15"/>
              </w:rPr>
              <w:t>Ekosystem cyfrowy</w:t>
            </w:r>
          </w:p>
        </w:tc>
        <w:tc>
          <w:tcPr>
            <w:tcW w:w="1152" w:type="dxa"/>
            <w:tcMar>
              <w:top w:w="60" w:type="dxa"/>
              <w:left w:w="70" w:type="dxa"/>
              <w:bottom w:w="60" w:type="dxa"/>
              <w:right w:w="70" w:type="dxa"/>
            </w:tcMar>
            <w:vAlign w:val="center"/>
          </w:tcPr>
          <w:p w14:paraId="24ECE5C9" w14:textId="77777777" w:rsidR="002C59F5" w:rsidRDefault="00000000">
            <w:r>
              <w:t>61,3</w:t>
            </w:r>
          </w:p>
        </w:tc>
        <w:tc>
          <w:tcPr>
            <w:tcW w:w="2160" w:type="dxa"/>
            <w:tcMar>
              <w:top w:w="60" w:type="dxa"/>
              <w:left w:w="70" w:type="dxa"/>
              <w:bottom w:w="60" w:type="dxa"/>
              <w:right w:w="70" w:type="dxa"/>
            </w:tcMar>
            <w:vAlign w:val="center"/>
          </w:tcPr>
          <w:p w14:paraId="2F382391" w14:textId="77777777" w:rsidR="002C59F5" w:rsidRDefault="00000000">
            <w:r>
              <w:t>umiarkowanie dobra odporność</w:t>
            </w:r>
          </w:p>
        </w:tc>
      </w:tr>
      <w:tr w:rsidR="00843C23" w:rsidRPr="00BA4F7F" w14:paraId="61125189" w14:textId="77777777">
        <w:trPr>
          <w:cantSplit/>
          <w:jc w:val="center"/>
        </w:trPr>
        <w:tc>
          <w:tcPr>
            <w:tcW w:w="6192" w:type="dxa"/>
            <w:shd w:val="clear" w:color="auto" w:fill="F7F7F7"/>
            <w:tcMar>
              <w:top w:w="60" w:type="dxa"/>
              <w:left w:w="70" w:type="dxa"/>
              <w:bottom w:w="60" w:type="dxa"/>
              <w:right w:w="70" w:type="dxa"/>
            </w:tcMar>
            <w:vAlign w:val="center"/>
          </w:tcPr>
          <w:p w14:paraId="37DE17CB" w14:textId="77777777" w:rsidR="00843C23" w:rsidRPr="00BA4F7F" w:rsidRDefault="00000000">
            <w:pPr>
              <w:jc w:val="left"/>
            </w:pPr>
            <w:r>
              <w:rPr>
                <w:b/>
                <w:sz w:val="15"/>
              </w:rPr>
              <w:t>Morska energetyka wiatrowa – II faza aukcyjna</w:t>
            </w:r>
          </w:p>
        </w:tc>
        <w:tc>
          <w:tcPr>
            <w:tcW w:w="1152" w:type="dxa"/>
            <w:shd w:val="clear" w:color="auto" w:fill="F7F7F7"/>
            <w:tcMar>
              <w:top w:w="60" w:type="dxa"/>
              <w:left w:w="70" w:type="dxa"/>
              <w:bottom w:w="60" w:type="dxa"/>
              <w:right w:w="70" w:type="dxa"/>
            </w:tcMar>
            <w:vAlign w:val="center"/>
          </w:tcPr>
          <w:p w14:paraId="5E439BDD" w14:textId="77777777" w:rsidR="002C59F5" w:rsidRDefault="00000000">
            <w:r>
              <w:t>58,8</w:t>
            </w:r>
          </w:p>
        </w:tc>
        <w:tc>
          <w:tcPr>
            <w:tcW w:w="2160" w:type="dxa"/>
            <w:shd w:val="clear" w:color="auto" w:fill="F7F7F7"/>
            <w:tcMar>
              <w:top w:w="60" w:type="dxa"/>
              <w:left w:w="70" w:type="dxa"/>
              <w:bottom w:w="60" w:type="dxa"/>
              <w:right w:w="70" w:type="dxa"/>
            </w:tcMar>
            <w:vAlign w:val="center"/>
          </w:tcPr>
          <w:p w14:paraId="62BF544F" w14:textId="77777777" w:rsidR="002C59F5" w:rsidRDefault="00000000">
            <w:r>
              <w:t>słaba lub niepełna odporność</w:t>
            </w:r>
          </w:p>
        </w:tc>
      </w:tr>
      <w:tr w:rsidR="00843C23" w:rsidRPr="00BA4F7F" w14:paraId="7EBA4D29" w14:textId="77777777">
        <w:trPr>
          <w:cantSplit/>
          <w:jc w:val="center"/>
        </w:trPr>
        <w:tc>
          <w:tcPr>
            <w:tcW w:w="6192" w:type="dxa"/>
            <w:tcMar>
              <w:top w:w="60" w:type="dxa"/>
              <w:left w:w="70" w:type="dxa"/>
              <w:bottom w:w="60" w:type="dxa"/>
              <w:right w:w="70" w:type="dxa"/>
            </w:tcMar>
            <w:vAlign w:val="center"/>
          </w:tcPr>
          <w:p w14:paraId="16CED1C2" w14:textId="77777777" w:rsidR="00843C23" w:rsidRPr="00BA4F7F" w:rsidRDefault="00000000">
            <w:pPr>
              <w:jc w:val="left"/>
            </w:pPr>
            <w:r w:rsidRPr="00BA4F7F">
              <w:rPr>
                <w:b/>
                <w:sz w:val="15"/>
              </w:rPr>
              <w:t>Port Zewnętrzny w Gdyni</w:t>
            </w:r>
          </w:p>
        </w:tc>
        <w:tc>
          <w:tcPr>
            <w:tcW w:w="1152" w:type="dxa"/>
            <w:tcMar>
              <w:top w:w="60" w:type="dxa"/>
              <w:left w:w="70" w:type="dxa"/>
              <w:bottom w:w="60" w:type="dxa"/>
              <w:right w:w="70" w:type="dxa"/>
            </w:tcMar>
            <w:vAlign w:val="center"/>
          </w:tcPr>
          <w:p w14:paraId="1751C2EA" w14:textId="77777777" w:rsidR="002C59F5" w:rsidRDefault="00000000">
            <w:r>
              <w:t>58,8</w:t>
            </w:r>
          </w:p>
        </w:tc>
        <w:tc>
          <w:tcPr>
            <w:tcW w:w="2160" w:type="dxa"/>
            <w:tcMar>
              <w:top w:w="60" w:type="dxa"/>
              <w:left w:w="70" w:type="dxa"/>
              <w:bottom w:w="60" w:type="dxa"/>
              <w:right w:w="70" w:type="dxa"/>
            </w:tcMar>
            <w:vAlign w:val="center"/>
          </w:tcPr>
          <w:p w14:paraId="36AF50C4" w14:textId="77777777" w:rsidR="002C59F5" w:rsidRDefault="00000000">
            <w:r>
              <w:t>słaba lub niepełna odporność</w:t>
            </w:r>
          </w:p>
        </w:tc>
      </w:tr>
      <w:tr w:rsidR="00843C23" w:rsidRPr="00BA4F7F" w14:paraId="13820CDE" w14:textId="77777777">
        <w:trPr>
          <w:cantSplit/>
          <w:jc w:val="center"/>
        </w:trPr>
        <w:tc>
          <w:tcPr>
            <w:tcW w:w="6192" w:type="dxa"/>
            <w:shd w:val="clear" w:color="auto" w:fill="F7F7F7"/>
            <w:tcMar>
              <w:top w:w="60" w:type="dxa"/>
              <w:left w:w="70" w:type="dxa"/>
              <w:bottom w:w="60" w:type="dxa"/>
              <w:right w:w="70" w:type="dxa"/>
            </w:tcMar>
            <w:vAlign w:val="center"/>
          </w:tcPr>
          <w:p w14:paraId="4C2F158E" w14:textId="77777777" w:rsidR="00843C23" w:rsidRPr="00BA4F7F" w:rsidRDefault="00000000">
            <w:pPr>
              <w:jc w:val="left"/>
            </w:pPr>
            <w:r>
              <w:rPr>
                <w:b/>
                <w:sz w:val="15"/>
              </w:rPr>
              <w:t>Technologie przełomowe</w:t>
            </w:r>
          </w:p>
        </w:tc>
        <w:tc>
          <w:tcPr>
            <w:tcW w:w="1152" w:type="dxa"/>
            <w:shd w:val="clear" w:color="auto" w:fill="F7F7F7"/>
            <w:tcMar>
              <w:top w:w="60" w:type="dxa"/>
              <w:left w:w="70" w:type="dxa"/>
              <w:bottom w:w="60" w:type="dxa"/>
              <w:right w:w="70" w:type="dxa"/>
            </w:tcMar>
            <w:vAlign w:val="center"/>
          </w:tcPr>
          <w:p w14:paraId="455AC592" w14:textId="77777777" w:rsidR="002C59F5" w:rsidRDefault="00000000">
            <w:r>
              <w:t>58,8</w:t>
            </w:r>
          </w:p>
        </w:tc>
        <w:tc>
          <w:tcPr>
            <w:tcW w:w="2160" w:type="dxa"/>
            <w:shd w:val="clear" w:color="auto" w:fill="F7F7F7"/>
            <w:tcMar>
              <w:top w:w="60" w:type="dxa"/>
              <w:left w:w="70" w:type="dxa"/>
              <w:bottom w:w="60" w:type="dxa"/>
              <w:right w:w="70" w:type="dxa"/>
            </w:tcMar>
            <w:vAlign w:val="center"/>
          </w:tcPr>
          <w:p w14:paraId="465A5BD6" w14:textId="77777777" w:rsidR="002C59F5" w:rsidRDefault="00000000">
            <w:r>
              <w:t>słaba lub niepełna odporność</w:t>
            </w:r>
          </w:p>
        </w:tc>
      </w:tr>
      <w:tr w:rsidR="00843C23" w:rsidRPr="00BA4F7F" w14:paraId="3FB3FB40" w14:textId="77777777">
        <w:trPr>
          <w:cantSplit/>
          <w:jc w:val="center"/>
        </w:trPr>
        <w:tc>
          <w:tcPr>
            <w:tcW w:w="6192" w:type="dxa"/>
            <w:tcMar>
              <w:top w:w="60" w:type="dxa"/>
              <w:left w:w="70" w:type="dxa"/>
              <w:bottom w:w="60" w:type="dxa"/>
              <w:right w:w="70" w:type="dxa"/>
            </w:tcMar>
            <w:vAlign w:val="center"/>
          </w:tcPr>
          <w:p w14:paraId="7F34583E" w14:textId="77777777" w:rsidR="00843C23" w:rsidRPr="00BA4F7F" w:rsidRDefault="00000000">
            <w:pPr>
              <w:jc w:val="left"/>
            </w:pPr>
            <w:r w:rsidRPr="00BA4F7F">
              <w:rPr>
                <w:b/>
                <w:sz w:val="15"/>
              </w:rPr>
              <w:t>CPK / Port Polska – projekt lotniskowo-kolejowy i cargo</w:t>
            </w:r>
          </w:p>
        </w:tc>
        <w:tc>
          <w:tcPr>
            <w:tcW w:w="1152" w:type="dxa"/>
            <w:tcMar>
              <w:top w:w="60" w:type="dxa"/>
              <w:left w:w="70" w:type="dxa"/>
              <w:bottom w:w="60" w:type="dxa"/>
              <w:right w:w="70" w:type="dxa"/>
            </w:tcMar>
            <w:vAlign w:val="center"/>
          </w:tcPr>
          <w:p w14:paraId="162A3A30" w14:textId="77777777" w:rsidR="002C59F5" w:rsidRDefault="00000000">
            <w:r>
              <w:t>55,0</w:t>
            </w:r>
          </w:p>
        </w:tc>
        <w:tc>
          <w:tcPr>
            <w:tcW w:w="2160" w:type="dxa"/>
            <w:tcMar>
              <w:top w:w="60" w:type="dxa"/>
              <w:left w:w="70" w:type="dxa"/>
              <w:bottom w:w="60" w:type="dxa"/>
              <w:right w:w="70" w:type="dxa"/>
            </w:tcMar>
            <w:vAlign w:val="center"/>
          </w:tcPr>
          <w:p w14:paraId="6D06FA0F" w14:textId="77777777" w:rsidR="002C59F5" w:rsidRDefault="00000000">
            <w:r>
              <w:t>słaba lub niepełna odporność</w:t>
            </w:r>
          </w:p>
        </w:tc>
      </w:tr>
      <w:tr w:rsidR="00843C23" w:rsidRPr="00BA4F7F" w14:paraId="07FB1D87" w14:textId="77777777">
        <w:trPr>
          <w:cantSplit/>
          <w:jc w:val="center"/>
        </w:trPr>
        <w:tc>
          <w:tcPr>
            <w:tcW w:w="6192" w:type="dxa"/>
            <w:shd w:val="clear" w:color="auto" w:fill="F7F7F7"/>
            <w:tcMar>
              <w:top w:w="60" w:type="dxa"/>
              <w:left w:w="70" w:type="dxa"/>
              <w:bottom w:w="60" w:type="dxa"/>
              <w:right w:w="70" w:type="dxa"/>
            </w:tcMar>
            <w:vAlign w:val="center"/>
          </w:tcPr>
          <w:p w14:paraId="76BA8C01" w14:textId="77777777" w:rsidR="00843C23" w:rsidRPr="00BA4F7F" w:rsidRDefault="00000000">
            <w:pPr>
              <w:jc w:val="left"/>
            </w:pPr>
            <w:proofErr w:type="spellStart"/>
            <w:r w:rsidRPr="00BA4F7F">
              <w:rPr>
                <w:b/>
                <w:sz w:val="15"/>
              </w:rPr>
              <w:t>Cyberbezpieczeństwo</w:t>
            </w:r>
            <w:proofErr w:type="spellEnd"/>
          </w:p>
        </w:tc>
        <w:tc>
          <w:tcPr>
            <w:tcW w:w="1152" w:type="dxa"/>
            <w:shd w:val="clear" w:color="auto" w:fill="F7F7F7"/>
            <w:tcMar>
              <w:top w:w="60" w:type="dxa"/>
              <w:left w:w="70" w:type="dxa"/>
              <w:bottom w:w="60" w:type="dxa"/>
              <w:right w:w="70" w:type="dxa"/>
            </w:tcMar>
            <w:vAlign w:val="center"/>
          </w:tcPr>
          <w:p w14:paraId="6D9A06AF" w14:textId="77777777" w:rsidR="002C59F5" w:rsidRDefault="00000000">
            <w:r>
              <w:t>53,8</w:t>
            </w:r>
          </w:p>
        </w:tc>
        <w:tc>
          <w:tcPr>
            <w:tcW w:w="2160" w:type="dxa"/>
            <w:shd w:val="clear" w:color="auto" w:fill="F7F7F7"/>
            <w:tcMar>
              <w:top w:w="60" w:type="dxa"/>
              <w:left w:w="70" w:type="dxa"/>
              <w:bottom w:w="60" w:type="dxa"/>
              <w:right w:w="70" w:type="dxa"/>
            </w:tcMar>
            <w:vAlign w:val="center"/>
          </w:tcPr>
          <w:p w14:paraId="48FF5F62" w14:textId="77777777" w:rsidR="002C59F5" w:rsidRDefault="00000000">
            <w:r>
              <w:t>słaba lub niepełna odporność</w:t>
            </w:r>
          </w:p>
        </w:tc>
      </w:tr>
      <w:tr w:rsidR="00843C23" w:rsidRPr="00BA4F7F" w14:paraId="6C2ABE15" w14:textId="77777777">
        <w:trPr>
          <w:cantSplit/>
          <w:jc w:val="center"/>
        </w:trPr>
        <w:tc>
          <w:tcPr>
            <w:tcW w:w="6192" w:type="dxa"/>
            <w:tcMar>
              <w:top w:w="60" w:type="dxa"/>
              <w:left w:w="70" w:type="dxa"/>
              <w:bottom w:w="60" w:type="dxa"/>
              <w:right w:w="70" w:type="dxa"/>
            </w:tcMar>
            <w:vAlign w:val="center"/>
          </w:tcPr>
          <w:p w14:paraId="47A87F3C" w14:textId="77777777" w:rsidR="00843C23" w:rsidRPr="00BA4F7F" w:rsidRDefault="00000000">
            <w:pPr>
              <w:jc w:val="left"/>
            </w:pPr>
            <w:r>
              <w:rPr>
                <w:b/>
                <w:sz w:val="15"/>
              </w:rPr>
              <w:t>Dostępność strategicznych zapasów ropy i paliw – IKS Solino / PERN</w:t>
            </w:r>
          </w:p>
        </w:tc>
        <w:tc>
          <w:tcPr>
            <w:tcW w:w="1152" w:type="dxa"/>
            <w:tcMar>
              <w:top w:w="60" w:type="dxa"/>
              <w:left w:w="70" w:type="dxa"/>
              <w:bottom w:w="60" w:type="dxa"/>
              <w:right w:w="70" w:type="dxa"/>
            </w:tcMar>
            <w:vAlign w:val="center"/>
          </w:tcPr>
          <w:p w14:paraId="26260DAB" w14:textId="77777777" w:rsidR="002C59F5" w:rsidRDefault="00000000">
            <w:r>
              <w:t>51,3</w:t>
            </w:r>
          </w:p>
        </w:tc>
        <w:tc>
          <w:tcPr>
            <w:tcW w:w="2160" w:type="dxa"/>
            <w:tcMar>
              <w:top w:w="60" w:type="dxa"/>
              <w:left w:w="70" w:type="dxa"/>
              <w:bottom w:w="60" w:type="dxa"/>
              <w:right w:w="70" w:type="dxa"/>
            </w:tcMar>
            <w:vAlign w:val="center"/>
          </w:tcPr>
          <w:p w14:paraId="1CE7300A" w14:textId="77777777" w:rsidR="002C59F5" w:rsidRDefault="00000000">
            <w:r>
              <w:t>słaba lub niepełna odporność</w:t>
            </w:r>
          </w:p>
        </w:tc>
      </w:tr>
    </w:tbl>
    <w:p w14:paraId="3ECB0C49" w14:textId="77777777" w:rsidR="00843C23" w:rsidRPr="00BA4F7F" w:rsidRDefault="00843C23">
      <w:pPr>
        <w:spacing w:after="20" w:line="259" w:lineRule="auto"/>
      </w:pPr>
    </w:p>
    <w:p w14:paraId="0EA332A6" w14:textId="77777777" w:rsidR="00843C23" w:rsidRPr="00BA4F7F" w:rsidRDefault="00000000">
      <w:pPr>
        <w:spacing w:line="259" w:lineRule="auto"/>
      </w:pPr>
      <w:r w:rsidRPr="00BA4F7F">
        <w:br w:type="page"/>
      </w:r>
    </w:p>
    <w:p w14:paraId="25DAD3E3" w14:textId="77777777" w:rsidR="00843C23" w:rsidRPr="00BA4F7F" w:rsidRDefault="00000000">
      <w:pPr>
        <w:pStyle w:val="ChapterKicker"/>
        <w:keepNext/>
        <w:keepLines/>
        <w:pageBreakBefore/>
        <w:rPr>
          <w:lang w:val="pl-PL"/>
        </w:rPr>
      </w:pPr>
      <w:r w:rsidRPr="00BA4F7F">
        <w:rPr>
          <w:lang w:val="pl-PL"/>
        </w:rPr>
        <w:lastRenderedPageBreak/>
        <w:t>ANEKSY</w:t>
      </w:r>
    </w:p>
    <w:p w14:paraId="56FF6D2D" w14:textId="77777777" w:rsidR="00843C23" w:rsidRPr="00BA4F7F" w:rsidRDefault="00000000">
      <w:pPr>
        <w:pStyle w:val="Nagwek1"/>
        <w:spacing w:before="0"/>
      </w:pPr>
      <w:bookmarkStart w:id="42" w:name="_Toc236400291"/>
      <w:bookmarkStart w:id="43" w:name="_Toc236400518"/>
      <w:r w:rsidRPr="00BA4F7F">
        <w:t>Aneks D. Źródła danych i podstawa ocen</w:t>
      </w:r>
      <w:bookmarkEnd w:id="42"/>
      <w:bookmarkEnd w:id="43"/>
    </w:p>
    <w:p w14:paraId="200C3CA7" w14:textId="77777777" w:rsidR="00E50EB7" w:rsidRPr="00BA4F7F" w:rsidRDefault="00E50EB7" w:rsidP="00E50EB7">
      <w:pPr>
        <w:spacing w:line="259" w:lineRule="auto"/>
      </w:pPr>
      <w:r w:rsidRPr="00BA4F7F">
        <w:t>Raport został opracowany na podstawie danych, dokumentów i ocen zgromadzonych w modelu obliczeniowym IRS. Model zawiera szczegółowe rejestry źródeł dla poszczególnych wskaźników, projektów strategicznych i ocen instytucjonalnych, w tym informacje o pochodzeniu danych, okresie odniesienia, statusie obserwacji oraz sposobie ich wykorzystania w obliczeniach.</w:t>
      </w:r>
    </w:p>
    <w:p w14:paraId="107F9C53" w14:textId="77777777" w:rsidR="00E50EB7" w:rsidRPr="00BA4F7F" w:rsidRDefault="00E50EB7" w:rsidP="00E50EB7">
      <w:pPr>
        <w:spacing w:line="259" w:lineRule="auto"/>
      </w:pPr>
      <w:r w:rsidRPr="00BA4F7F">
        <w:t>Podstawę ilościową IRS stanowią przede wszystkim:</w:t>
      </w:r>
    </w:p>
    <w:p w14:paraId="0A9CE4D6" w14:textId="77777777" w:rsidR="00E50EB7" w:rsidRPr="00BA4F7F" w:rsidRDefault="00E50EB7" w:rsidP="00E50EB7">
      <w:pPr>
        <w:pStyle w:val="Listapunktowana"/>
        <w:numPr>
          <w:ilvl w:val="0"/>
          <w:numId w:val="10"/>
        </w:numPr>
        <w:spacing w:line="259" w:lineRule="auto"/>
      </w:pPr>
      <w:r w:rsidRPr="00BA4F7F">
        <w:t xml:space="preserve">oficjalne dane statystyczne krajowe i międzynarodowe; </w:t>
      </w:r>
    </w:p>
    <w:p w14:paraId="4003A090" w14:textId="77777777" w:rsidR="00E50EB7" w:rsidRPr="00BA4F7F" w:rsidRDefault="00E50EB7" w:rsidP="00E50EB7">
      <w:pPr>
        <w:pStyle w:val="Listapunktowana"/>
        <w:numPr>
          <w:ilvl w:val="0"/>
          <w:numId w:val="10"/>
        </w:numPr>
        <w:spacing w:line="259" w:lineRule="auto"/>
      </w:pPr>
      <w:r w:rsidRPr="00BA4F7F">
        <w:t xml:space="preserve">dane administracyjne i finansowe instytucji publicznych; </w:t>
      </w:r>
    </w:p>
    <w:p w14:paraId="66337E57" w14:textId="77777777" w:rsidR="00E50EB7" w:rsidRPr="00BA4F7F" w:rsidRDefault="00E50EB7" w:rsidP="00E50EB7">
      <w:pPr>
        <w:pStyle w:val="Listapunktowana"/>
        <w:numPr>
          <w:ilvl w:val="0"/>
          <w:numId w:val="10"/>
        </w:numPr>
        <w:spacing w:line="259" w:lineRule="auto"/>
      </w:pPr>
      <w:r w:rsidRPr="00BA4F7F">
        <w:t xml:space="preserve">informacje publikowane przez organy regulacyjne, instytucje nadzorcze i organizacje międzynarodowe; </w:t>
      </w:r>
    </w:p>
    <w:p w14:paraId="6082BB20" w14:textId="77777777" w:rsidR="00E50EB7" w:rsidRPr="00BA4F7F" w:rsidRDefault="00E50EB7" w:rsidP="00E50EB7">
      <w:pPr>
        <w:pStyle w:val="Listapunktowana"/>
        <w:numPr>
          <w:ilvl w:val="0"/>
          <w:numId w:val="10"/>
        </w:numPr>
        <w:spacing w:line="259" w:lineRule="auto"/>
      </w:pPr>
      <w:r w:rsidRPr="00BA4F7F">
        <w:t xml:space="preserve">dane operatorów infrastruktury oraz podmiotów odpowiedzialnych za realizację projektów strategicznych; </w:t>
      </w:r>
    </w:p>
    <w:p w14:paraId="1251AD91" w14:textId="77777777" w:rsidR="00E50EB7" w:rsidRPr="00BA4F7F" w:rsidRDefault="00E50EB7" w:rsidP="00E50EB7">
      <w:pPr>
        <w:pStyle w:val="Listapunktowana"/>
        <w:numPr>
          <w:ilvl w:val="0"/>
          <w:numId w:val="10"/>
        </w:numPr>
        <w:spacing w:line="259" w:lineRule="auto"/>
      </w:pPr>
      <w:r w:rsidRPr="00BA4F7F">
        <w:t xml:space="preserve">wyniki kontroli, audytów i ewaluacji dotyczących funkcjonowania państwa; </w:t>
      </w:r>
    </w:p>
    <w:p w14:paraId="627C5F94" w14:textId="77777777" w:rsidR="00E50EB7" w:rsidRPr="00BA4F7F" w:rsidRDefault="00E50EB7" w:rsidP="00E50EB7">
      <w:pPr>
        <w:pStyle w:val="Listapunktowana"/>
        <w:numPr>
          <w:ilvl w:val="0"/>
          <w:numId w:val="10"/>
        </w:numPr>
        <w:spacing w:line="259" w:lineRule="auto"/>
      </w:pPr>
      <w:r w:rsidRPr="00BA4F7F">
        <w:t xml:space="preserve">badania społeczne dotyczące zaufania, integracji, sprawczości i kapitału społecznego; </w:t>
      </w:r>
    </w:p>
    <w:p w14:paraId="586B8AAE" w14:textId="77777777" w:rsidR="00E50EB7" w:rsidRPr="00BA4F7F" w:rsidRDefault="00E50EB7" w:rsidP="00E50EB7">
      <w:pPr>
        <w:pStyle w:val="Listapunktowana"/>
        <w:numPr>
          <w:ilvl w:val="0"/>
          <w:numId w:val="10"/>
        </w:numPr>
        <w:spacing w:line="259" w:lineRule="auto"/>
      </w:pPr>
      <w:r w:rsidRPr="00BA4F7F">
        <w:t xml:space="preserve">akty prawne, dokumenty programowe, strategie, harmonogramy i informacje o stanie wdrożenia przedsięwzięć. </w:t>
      </w:r>
    </w:p>
    <w:p w14:paraId="30B40DDA" w14:textId="77777777" w:rsidR="00E50EB7" w:rsidRPr="00BA4F7F" w:rsidRDefault="00E50EB7" w:rsidP="00E50EB7">
      <w:pPr>
        <w:spacing w:line="259" w:lineRule="auto"/>
      </w:pPr>
      <w:r w:rsidRPr="00BA4F7F">
        <w:t>W pierwszej kolejności wykorzystywane są źródła oficjalne, publicznie dostępne i możliwe do zweryfikowania. Jeżeli dla danego roku nie jest dostępna obserwacja ostateczna, model wskazuje status danych oraz przyjęty sposób postępowania, np. wykorzystanie wartości wstępnej, szacunkowej albo ostatniej dostępnej obserwacji. Rozwiązania te są stosowane zgodnie z zasadami opisanymi w metodologii IRS.</w:t>
      </w:r>
    </w:p>
    <w:p w14:paraId="06843978" w14:textId="77777777" w:rsidR="00E50EB7" w:rsidRPr="00BA4F7F" w:rsidRDefault="00E50EB7" w:rsidP="00E50EB7">
      <w:pPr>
        <w:spacing w:line="259" w:lineRule="auto"/>
      </w:pPr>
      <w:r w:rsidRPr="00BA4F7F">
        <w:t xml:space="preserve">W przypadku Projektów strategicznych i Ładu instytucjonalnego dane źródłowe są uzupełniane oceną ekspercką. Uzasadnienia, komentarze kryterialne, wartości cząstkowe oraz odniesienia do materiału źródłowego są dostępne bezpośrednio w odpowiednich arkuszach modelu obliczeniowego IRS. Pozwala to prześledzić drogę od danych i materiału dowodowego do wyniku wskaźnika, projektu, </w:t>
      </w:r>
      <w:proofErr w:type="spellStart"/>
      <w:r w:rsidRPr="00BA4F7F">
        <w:t>subobszaru</w:t>
      </w:r>
      <w:proofErr w:type="spellEnd"/>
      <w:r w:rsidRPr="00BA4F7F">
        <w:t xml:space="preserve">, </w:t>
      </w:r>
      <w:proofErr w:type="spellStart"/>
      <w:r w:rsidRPr="00BA4F7F">
        <w:t>subindeksu</w:t>
      </w:r>
      <w:proofErr w:type="spellEnd"/>
      <w:r w:rsidRPr="00BA4F7F">
        <w:t xml:space="preserve"> i ostatecznego wyniku IRS.</w:t>
      </w:r>
    </w:p>
    <w:p w14:paraId="199D58D5" w14:textId="77777777" w:rsidR="00E50EB7" w:rsidRPr="00BA4F7F" w:rsidRDefault="00E50EB7" w:rsidP="00E50EB7">
      <w:pPr>
        <w:spacing w:line="259" w:lineRule="auto"/>
      </w:pPr>
      <w:r w:rsidRPr="00BA4F7F">
        <w:t>Źródło nie zastępuje oceny, lecz stanowi jej podstawę dowodową. Punktacja ekspercka wynika z zastosowania jawnych kryteriów i porównania udokumentowanego stanu z funkcją strategiczną danego obszaru. Model obliczeniowy pozostaje zatem podstawowym repozytorium danych, źródeł, komentarzy i uzasadnień wykorzystanych w raporcie.</w:t>
      </w:r>
    </w:p>
    <w:p w14:paraId="4465AB9C" w14:textId="77777777" w:rsidR="00E50EB7" w:rsidRDefault="00E50EB7">
      <w:pPr>
        <w:spacing w:line="259" w:lineRule="auto"/>
      </w:pPr>
    </w:p>
    <w:p w14:paraId="0B755D69" w14:textId="77777777" w:rsidR="00942572" w:rsidRDefault="00942572"/>
    <w:sectPr w:rsidR="00942572">
      <w:headerReference w:type="even" r:id="rId46"/>
      <w:headerReference w:type="default" r:id="rId47"/>
      <w:footerReference w:type="even" r:id="rId48"/>
      <w:footerReference w:type="default" r:id="rId49"/>
      <w:headerReference w:type="first" r:id="rId50"/>
      <w:footerReference w:type="first" r:id="rId51"/>
      <w:pgSz w:w="11906" w:h="16838"/>
      <w:pgMar w:top="1020" w:right="1020" w:bottom="964"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BB4A5" w14:textId="77777777" w:rsidR="00D22C87" w:rsidRPr="00BA4F7F" w:rsidRDefault="00D22C87">
      <w:pPr>
        <w:spacing w:after="0" w:line="240" w:lineRule="auto"/>
      </w:pPr>
      <w:r w:rsidRPr="00BA4F7F">
        <w:separator/>
      </w:r>
    </w:p>
  </w:endnote>
  <w:endnote w:type="continuationSeparator" w:id="0">
    <w:p w14:paraId="478759D1" w14:textId="77777777" w:rsidR="00D22C87" w:rsidRPr="00BA4F7F" w:rsidRDefault="00D22C87">
      <w:pPr>
        <w:spacing w:after="0" w:line="240" w:lineRule="auto"/>
      </w:pPr>
      <w:r w:rsidRPr="00BA4F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94485" w14:textId="77777777" w:rsidR="00942572" w:rsidRDefault="009425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D0CD3" w14:textId="77777777" w:rsidR="00843C23" w:rsidRPr="00BA4F7F" w:rsidRDefault="00000000">
    <w:pPr>
      <w:pStyle w:val="Stopka"/>
      <w:jc w:val="center"/>
    </w:pPr>
    <w:r w:rsidRPr="00BA4F7F">
      <w:rPr>
        <w:color w:val="666666"/>
        <w:sz w:val="16"/>
      </w:rPr>
      <w:t xml:space="preserve">IRS 2025  •  </w:t>
    </w:r>
    <w:r w:rsidRPr="00BA4F7F">
      <w:fldChar w:fldCharType="begin"/>
    </w:r>
    <w:r w:rsidRPr="00BA4F7F">
      <w:instrText xml:space="preserve"> PAGE </w:instrText>
    </w:r>
    <w:r w:rsidRPr="00BA4F7F">
      <w:fldChar w:fldCharType="separate"/>
    </w:r>
    <w:r w:rsidR="00532021" w:rsidRPr="00BA4F7F">
      <w:t>1</w:t>
    </w:r>
    <w:r w:rsidRPr="00BA4F7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E6B1A" w14:textId="77777777" w:rsidR="00942572" w:rsidRDefault="009425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CDBC4" w14:textId="77777777" w:rsidR="00D22C87" w:rsidRPr="00BA4F7F" w:rsidRDefault="00D22C87">
      <w:pPr>
        <w:spacing w:after="0" w:line="240" w:lineRule="auto"/>
      </w:pPr>
      <w:r w:rsidRPr="00BA4F7F">
        <w:separator/>
      </w:r>
    </w:p>
  </w:footnote>
  <w:footnote w:type="continuationSeparator" w:id="0">
    <w:p w14:paraId="21703CCF" w14:textId="77777777" w:rsidR="00D22C87" w:rsidRPr="00BA4F7F" w:rsidRDefault="00D22C87">
      <w:pPr>
        <w:spacing w:after="0" w:line="240" w:lineRule="auto"/>
      </w:pPr>
      <w:r w:rsidRPr="00BA4F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EBF17" w14:textId="77777777" w:rsidR="00942572" w:rsidRDefault="0094257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0AEFE" w14:textId="77777777" w:rsidR="00843C23" w:rsidRPr="00BA4F7F" w:rsidRDefault="00000000">
    <w:pPr>
      <w:pStyle w:val="Nagwek"/>
      <w:jc w:val="right"/>
    </w:pPr>
    <w:r w:rsidRPr="00BA4F7F">
      <w:rPr>
        <w:color w:val="666666"/>
        <w:sz w:val="16"/>
      </w:rPr>
      <w:t>Indeks Racji Stanu  |  Raport główny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1C37" w14:textId="77777777" w:rsidR="00942572" w:rsidRDefault="009425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E904D7D0"/>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F8D3A45"/>
    <w:multiLevelType w:val="multilevel"/>
    <w:tmpl w:val="5A48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5E0016"/>
    <w:multiLevelType w:val="multilevel"/>
    <w:tmpl w:val="F70E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C651D6"/>
    <w:multiLevelType w:val="multilevel"/>
    <w:tmpl w:val="90243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520EC3"/>
    <w:multiLevelType w:val="multilevel"/>
    <w:tmpl w:val="F050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D41030"/>
    <w:multiLevelType w:val="multilevel"/>
    <w:tmpl w:val="46D0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3C72D1"/>
    <w:multiLevelType w:val="multilevel"/>
    <w:tmpl w:val="2190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8F3B26"/>
    <w:multiLevelType w:val="multilevel"/>
    <w:tmpl w:val="CB3E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144246">
    <w:abstractNumId w:val="8"/>
  </w:num>
  <w:num w:numId="2" w16cid:durableId="721293018">
    <w:abstractNumId w:val="6"/>
  </w:num>
  <w:num w:numId="3" w16cid:durableId="219439143">
    <w:abstractNumId w:val="5"/>
  </w:num>
  <w:num w:numId="4" w16cid:durableId="2115980288">
    <w:abstractNumId w:val="4"/>
  </w:num>
  <w:num w:numId="5" w16cid:durableId="1199388559">
    <w:abstractNumId w:val="7"/>
  </w:num>
  <w:num w:numId="6" w16cid:durableId="720204940">
    <w:abstractNumId w:val="3"/>
  </w:num>
  <w:num w:numId="7" w16cid:durableId="830368963">
    <w:abstractNumId w:val="2"/>
  </w:num>
  <w:num w:numId="8" w16cid:durableId="935821155">
    <w:abstractNumId w:val="1"/>
  </w:num>
  <w:num w:numId="9" w16cid:durableId="131486232">
    <w:abstractNumId w:val="0"/>
  </w:num>
  <w:num w:numId="10" w16cid:durableId="1717436903">
    <w:abstractNumId w:val="13"/>
  </w:num>
  <w:num w:numId="11" w16cid:durableId="1686594793">
    <w:abstractNumId w:val="11"/>
  </w:num>
  <w:num w:numId="12" w16cid:durableId="1199200321">
    <w:abstractNumId w:val="12"/>
  </w:num>
  <w:num w:numId="13" w16cid:durableId="917059235">
    <w:abstractNumId w:val="9"/>
  </w:num>
  <w:num w:numId="14" w16cid:durableId="1375959702">
    <w:abstractNumId w:val="14"/>
  </w:num>
  <w:num w:numId="15" w16cid:durableId="387069877">
    <w:abstractNumId w:val="10"/>
  </w:num>
  <w:num w:numId="16" w16cid:durableId="8467964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6574"/>
    <w:rsid w:val="000329EF"/>
    <w:rsid w:val="00034616"/>
    <w:rsid w:val="0006063C"/>
    <w:rsid w:val="00064065"/>
    <w:rsid w:val="000D1C35"/>
    <w:rsid w:val="000F728E"/>
    <w:rsid w:val="00100B47"/>
    <w:rsid w:val="00133886"/>
    <w:rsid w:val="0015074B"/>
    <w:rsid w:val="00181CD9"/>
    <w:rsid w:val="00184EB0"/>
    <w:rsid w:val="0019100C"/>
    <w:rsid w:val="0019397D"/>
    <w:rsid w:val="001963B2"/>
    <w:rsid w:val="001A7966"/>
    <w:rsid w:val="001B3D36"/>
    <w:rsid w:val="001C00B9"/>
    <w:rsid w:val="001E248D"/>
    <w:rsid w:val="00201409"/>
    <w:rsid w:val="00203BE6"/>
    <w:rsid w:val="002113E6"/>
    <w:rsid w:val="002159BB"/>
    <w:rsid w:val="00220D49"/>
    <w:rsid w:val="00236AA5"/>
    <w:rsid w:val="002659F5"/>
    <w:rsid w:val="002746B6"/>
    <w:rsid w:val="0029639D"/>
    <w:rsid w:val="002C59F5"/>
    <w:rsid w:val="002E36FE"/>
    <w:rsid w:val="002E4684"/>
    <w:rsid w:val="002F4F09"/>
    <w:rsid w:val="00326F90"/>
    <w:rsid w:val="003357E9"/>
    <w:rsid w:val="00377F78"/>
    <w:rsid w:val="00391DB3"/>
    <w:rsid w:val="003D2035"/>
    <w:rsid w:val="003D31C2"/>
    <w:rsid w:val="003E625A"/>
    <w:rsid w:val="003E7CF3"/>
    <w:rsid w:val="00416093"/>
    <w:rsid w:val="004272BA"/>
    <w:rsid w:val="00437160"/>
    <w:rsid w:val="00460512"/>
    <w:rsid w:val="004B21C1"/>
    <w:rsid w:val="004C627B"/>
    <w:rsid w:val="004D32B6"/>
    <w:rsid w:val="00531FE2"/>
    <w:rsid w:val="00532021"/>
    <w:rsid w:val="00537CA0"/>
    <w:rsid w:val="005616A4"/>
    <w:rsid w:val="005969AF"/>
    <w:rsid w:val="005C0260"/>
    <w:rsid w:val="005C327C"/>
    <w:rsid w:val="005D5C12"/>
    <w:rsid w:val="005E77C4"/>
    <w:rsid w:val="006118CF"/>
    <w:rsid w:val="00614A95"/>
    <w:rsid w:val="0065262B"/>
    <w:rsid w:val="006646BA"/>
    <w:rsid w:val="006D68E9"/>
    <w:rsid w:val="006E6422"/>
    <w:rsid w:val="007225DD"/>
    <w:rsid w:val="00747CAF"/>
    <w:rsid w:val="00761186"/>
    <w:rsid w:val="0077288A"/>
    <w:rsid w:val="007959A9"/>
    <w:rsid w:val="0079770F"/>
    <w:rsid w:val="007A181F"/>
    <w:rsid w:val="007B423E"/>
    <w:rsid w:val="007B69D3"/>
    <w:rsid w:val="007C6159"/>
    <w:rsid w:val="007F29B8"/>
    <w:rsid w:val="00802A0C"/>
    <w:rsid w:val="00833490"/>
    <w:rsid w:val="00843C23"/>
    <w:rsid w:val="00857B90"/>
    <w:rsid w:val="00870040"/>
    <w:rsid w:val="008D1202"/>
    <w:rsid w:val="009112D3"/>
    <w:rsid w:val="0092328A"/>
    <w:rsid w:val="00942572"/>
    <w:rsid w:val="00947691"/>
    <w:rsid w:val="00963EAF"/>
    <w:rsid w:val="0099377A"/>
    <w:rsid w:val="009B4736"/>
    <w:rsid w:val="009D42E7"/>
    <w:rsid w:val="00A16E3F"/>
    <w:rsid w:val="00AA1D8D"/>
    <w:rsid w:val="00AB21B7"/>
    <w:rsid w:val="00AE009E"/>
    <w:rsid w:val="00B47730"/>
    <w:rsid w:val="00B64177"/>
    <w:rsid w:val="00BA4F7F"/>
    <w:rsid w:val="00BD77C1"/>
    <w:rsid w:val="00C07B4E"/>
    <w:rsid w:val="00C34CB5"/>
    <w:rsid w:val="00C54427"/>
    <w:rsid w:val="00C8384F"/>
    <w:rsid w:val="00C858C6"/>
    <w:rsid w:val="00C91AED"/>
    <w:rsid w:val="00CB0664"/>
    <w:rsid w:val="00CB41AF"/>
    <w:rsid w:val="00CC3E14"/>
    <w:rsid w:val="00CC6018"/>
    <w:rsid w:val="00D22C87"/>
    <w:rsid w:val="00D41187"/>
    <w:rsid w:val="00D42D8F"/>
    <w:rsid w:val="00D9003E"/>
    <w:rsid w:val="00DB279B"/>
    <w:rsid w:val="00E036B7"/>
    <w:rsid w:val="00E05F69"/>
    <w:rsid w:val="00E169DF"/>
    <w:rsid w:val="00E2541F"/>
    <w:rsid w:val="00E36AB6"/>
    <w:rsid w:val="00E50EB7"/>
    <w:rsid w:val="00E8790D"/>
    <w:rsid w:val="00E94367"/>
    <w:rsid w:val="00EB1D01"/>
    <w:rsid w:val="00EB493F"/>
    <w:rsid w:val="00ED0833"/>
    <w:rsid w:val="00ED302A"/>
    <w:rsid w:val="00F04E0C"/>
    <w:rsid w:val="00F16B47"/>
    <w:rsid w:val="00F25846"/>
    <w:rsid w:val="00F616CD"/>
    <w:rsid w:val="00F66F61"/>
    <w:rsid w:val="00F91D74"/>
    <w:rsid w:val="00FC693F"/>
    <w:rsid w:val="00FF0D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15F564"/>
  <w14:defaultImageDpi w14:val="300"/>
  <w15:docId w15:val="{21DCB866-E960-47F2-8C5E-A0F34586F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90" w:line="269" w:lineRule="auto"/>
      <w:jc w:val="both"/>
    </w:pPr>
    <w:rPr>
      <w:rFonts w:ascii="Arial" w:hAnsi="Arial"/>
      <w:sz w:val="19"/>
      <w:lang w:val="pl-PL"/>
    </w:rPr>
  </w:style>
  <w:style w:type="paragraph" w:styleId="Nagwek1">
    <w:name w:val="heading 1"/>
    <w:basedOn w:val="Normalny"/>
    <w:next w:val="Normalny"/>
    <w:link w:val="Nagwek1Znak"/>
    <w:uiPriority w:val="9"/>
    <w:qFormat/>
    <w:rsid w:val="00FC693F"/>
    <w:pPr>
      <w:keepNext/>
      <w:keepLines/>
      <w:spacing w:before="260" w:after="100"/>
      <w:outlineLvl w:val="0"/>
    </w:pPr>
    <w:rPr>
      <w:rFonts w:asciiTheme="majorHAnsi" w:eastAsiaTheme="majorEastAsia" w:hAnsiTheme="majorHAnsi" w:cstheme="majorBidi"/>
      <w:b/>
      <w:bCs/>
      <w:color w:val="1F4E79"/>
      <w:sz w:val="40"/>
      <w:szCs w:val="28"/>
    </w:rPr>
  </w:style>
  <w:style w:type="paragraph" w:styleId="Nagwek2">
    <w:name w:val="heading 2"/>
    <w:basedOn w:val="Normalny"/>
    <w:next w:val="Normalny"/>
    <w:link w:val="Nagwek2Znak"/>
    <w:uiPriority w:val="9"/>
    <w:unhideWhenUsed/>
    <w:qFormat/>
    <w:rsid w:val="00FC693F"/>
    <w:pPr>
      <w:keepNext/>
      <w:keepLines/>
      <w:spacing w:before="160" w:after="100"/>
      <w:outlineLvl w:val="1"/>
    </w:pPr>
    <w:rPr>
      <w:rFonts w:asciiTheme="majorHAnsi" w:eastAsiaTheme="majorEastAsia" w:hAnsiTheme="majorHAnsi" w:cstheme="majorBidi"/>
      <w:b/>
      <w:bCs/>
      <w:color w:val="2F75B5"/>
      <w:sz w:val="28"/>
      <w:szCs w:val="26"/>
    </w:rPr>
  </w:style>
  <w:style w:type="paragraph" w:styleId="Nagwek3">
    <w:name w:val="heading 3"/>
    <w:basedOn w:val="Normalny"/>
    <w:next w:val="Normalny"/>
    <w:link w:val="Nagwek3Znak"/>
    <w:uiPriority w:val="9"/>
    <w:unhideWhenUsed/>
    <w:qFormat/>
    <w:rsid w:val="00FC693F"/>
    <w:pPr>
      <w:keepNext/>
      <w:keepLines/>
      <w:spacing w:before="100" w:after="100"/>
      <w:outlineLvl w:val="2"/>
    </w:pPr>
    <w:rPr>
      <w:rFonts w:asciiTheme="majorHAnsi" w:eastAsiaTheme="majorEastAsia" w:hAnsiTheme="majorHAnsi" w:cstheme="majorBidi"/>
      <w:b/>
      <w:bCs/>
      <w:color w:val="17365D"/>
      <w:sz w:val="22"/>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keepNext/>
      <w:pBdr>
        <w:bottom w:val="single" w:sz="8" w:space="4" w:color="4F81BD" w:themeColor="accent1"/>
      </w:pBdr>
      <w:spacing w:before="360" w:after="100" w:line="240" w:lineRule="auto"/>
      <w:contextualSpacing/>
    </w:pPr>
    <w:rPr>
      <w:rFonts w:asciiTheme="majorHAnsi" w:eastAsiaTheme="majorEastAsia" w:hAnsiTheme="majorHAnsi" w:cstheme="majorBidi"/>
      <w:b/>
      <w:color w:val="17365D"/>
      <w:spacing w:val="5"/>
      <w:kern w:val="28"/>
      <w:sz w:val="60"/>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unhideWhenUsed/>
    <w:qFormat/>
    <w:rsid w:val="00FC693F"/>
    <w:pPr>
      <w:spacing w:after="40" w:line="240" w:lineRule="auto"/>
    </w:pPr>
    <w:rPr>
      <w:b/>
      <w:bCs/>
      <w:i/>
      <w:color w:val="666666"/>
      <w:sz w:val="17"/>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line="288" w:lineRule="auto"/>
    </w:pPr>
    <w:rPr>
      <w:rFonts w:ascii="Arial" w:hAnsi="Arial"/>
      <w:color w:val="17365D"/>
      <w:sz w:val="24"/>
    </w:rPr>
  </w:style>
  <w:style w:type="paragraph" w:customStyle="1" w:styleId="SourceNote">
    <w:name w:val="SourceNote"/>
    <w:pPr>
      <w:spacing w:after="120"/>
    </w:pPr>
    <w:rPr>
      <w:rFonts w:ascii="Arial" w:hAnsi="Arial"/>
      <w:color w:val="666666"/>
      <w:sz w:val="15"/>
    </w:rPr>
  </w:style>
  <w:style w:type="paragraph" w:customStyle="1" w:styleId="CalloutTitle">
    <w:name w:val="CalloutTitle"/>
  </w:style>
  <w:style w:type="paragraph" w:customStyle="1" w:styleId="SmallText">
    <w:name w:val="SmallText"/>
    <w:rPr>
      <w:rFonts w:ascii="Arial" w:hAnsi="Arial"/>
      <w:color w:val="666666"/>
      <w:sz w:val="16"/>
    </w:rPr>
  </w:style>
  <w:style w:type="paragraph" w:customStyle="1" w:styleId="ChapterKicker">
    <w:name w:val="ChapterKicker"/>
    <w:pPr>
      <w:spacing w:after="60"/>
    </w:pPr>
    <w:rPr>
      <w:rFonts w:ascii="Arial" w:hAnsi="Arial"/>
      <w:b/>
      <w:color w:val="B58A3C"/>
      <w:sz w:val="18"/>
    </w:rPr>
  </w:style>
  <w:style w:type="character" w:styleId="Hipercze">
    <w:name w:val="Hyperlink"/>
    <w:basedOn w:val="Domylnaczcionkaakapitu"/>
    <w:uiPriority w:val="99"/>
    <w:unhideWhenUsed/>
    <w:rsid w:val="00E36AB6"/>
    <w:rPr>
      <w:color w:val="0000FF" w:themeColor="hyperlink"/>
      <w:u w:val="single"/>
    </w:rPr>
  </w:style>
  <w:style w:type="character" w:styleId="Nierozpoznanawzmianka">
    <w:name w:val="Unresolved Mention"/>
    <w:basedOn w:val="Domylnaczcionkaakapitu"/>
    <w:uiPriority w:val="99"/>
    <w:semiHidden/>
    <w:unhideWhenUsed/>
    <w:rsid w:val="00E36AB6"/>
    <w:rPr>
      <w:color w:val="605E5C"/>
      <w:shd w:val="clear" w:color="auto" w:fill="E1DFDD"/>
    </w:rPr>
  </w:style>
  <w:style w:type="paragraph" w:customStyle="1" w:styleId="IRSHeading2">
    <w:name w:val="IRS Heading 2"/>
    <w:rsid w:val="001A7966"/>
    <w:pPr>
      <w:keepNext/>
      <w:spacing w:before="200" w:after="100"/>
    </w:pPr>
    <w:rPr>
      <w:rFonts w:ascii="Aptos" w:hAnsi="Aptos"/>
      <w:b/>
      <w:color w:val="1F4E79"/>
      <w:sz w:val="27"/>
    </w:rPr>
  </w:style>
  <w:style w:type="paragraph" w:customStyle="1" w:styleId="IRSHeading3">
    <w:name w:val="IRS Heading 3"/>
    <w:rsid w:val="001A7966"/>
    <w:pPr>
      <w:keepNext/>
      <w:spacing w:before="160" w:after="60"/>
    </w:pPr>
    <w:rPr>
      <w:rFonts w:ascii="Aptos" w:hAnsi="Aptos"/>
      <w:b/>
      <w:color w:val="2F75B5"/>
    </w:rPr>
  </w:style>
  <w:style w:type="paragraph" w:customStyle="1" w:styleId="IRSLead">
    <w:name w:val="IRS Lead"/>
    <w:rsid w:val="001A7966"/>
    <w:pPr>
      <w:spacing w:after="160" w:line="269" w:lineRule="auto"/>
    </w:pPr>
    <w:rPr>
      <w:rFonts w:ascii="Aptos" w:hAnsi="Aptos"/>
      <w:b/>
      <w:color w:val="4A4A4A"/>
    </w:rPr>
  </w:style>
  <w:style w:type="paragraph" w:customStyle="1" w:styleId="IRSSummaryBody">
    <w:name w:val="IRS Summary Body"/>
    <w:basedOn w:val="Normalny"/>
    <w:pPr>
      <w:spacing w:after="80" w:line="245" w:lineRule="auto"/>
    </w:pPr>
    <w:rPr>
      <w:rFonts w:ascii="Aptos" w:hAnsi="Aptos"/>
      <w:sz w:val="18"/>
    </w:rPr>
  </w:style>
  <w:style w:type="paragraph" w:customStyle="1" w:styleId="IRSSummarySmall">
    <w:name w:val="IRS Summary Small"/>
    <w:basedOn w:val="Normalny"/>
    <w:pPr>
      <w:spacing w:after="20" w:line="235" w:lineRule="auto"/>
    </w:pPr>
    <w:rPr>
      <w:rFonts w:ascii="Aptos" w:hAnsi="Aptos"/>
      <w:sz w:val="16"/>
    </w:rPr>
  </w:style>
  <w:style w:type="paragraph" w:customStyle="1" w:styleId="IRSSummaryCell">
    <w:name w:val="IRS Summary Cell"/>
    <w:basedOn w:val="Normalny"/>
    <w:pPr>
      <w:spacing w:after="0" w:line="235" w:lineRule="auto"/>
    </w:pPr>
    <w:rPr>
      <w:rFonts w:ascii="Aptos" w:hAnsi="Aptos"/>
      <w:sz w:val="16"/>
    </w:rPr>
  </w:style>
  <w:style w:type="paragraph" w:customStyle="1" w:styleId="IRSSummaryCardTitle">
    <w:name w:val="IRS Summary Card Title"/>
    <w:basedOn w:val="Normalny"/>
    <w:pPr>
      <w:keepNext/>
      <w:spacing w:after="40" w:line="240" w:lineRule="auto"/>
    </w:pPr>
    <w:rPr>
      <w:rFonts w:ascii="Aptos" w:hAnsi="Aptos"/>
      <w:b/>
      <w:color w:val="1F4E79"/>
      <w:sz w:val="20"/>
    </w:rPr>
  </w:style>
  <w:style w:type="paragraph" w:customStyle="1" w:styleId="IRSSummaryCardBody">
    <w:name w:val="IRS Summary Card Body"/>
    <w:basedOn w:val="Normalny"/>
    <w:pPr>
      <w:spacing w:after="0" w:line="240" w:lineRule="auto"/>
    </w:pPr>
    <w:rPr>
      <w:rFonts w:ascii="Aptos" w:hAnsi="Aptos"/>
      <w:sz w:val="17"/>
    </w:rPr>
  </w:style>
  <w:style w:type="paragraph" w:customStyle="1" w:styleId="IRSSummaryNote">
    <w:name w:val="IRS Summary Note"/>
    <w:basedOn w:val="Normalny"/>
    <w:pPr>
      <w:spacing w:after="0" w:line="240" w:lineRule="auto"/>
    </w:pPr>
    <w:rPr>
      <w:rFonts w:ascii="Aptos" w:hAnsi="Aptos"/>
      <w:color w:val="5A6570"/>
      <w:sz w:val="16"/>
    </w:rPr>
  </w:style>
  <w:style w:type="table" w:styleId="Zwykatabela1">
    <w:name w:val="Plain Table 1"/>
    <w:basedOn w:val="Standardowy"/>
    <w:uiPriority w:val="99"/>
    <w:rsid w:val="002659F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nyWeb">
    <w:name w:val="Normal (Web)"/>
    <w:basedOn w:val="Normalny"/>
    <w:uiPriority w:val="99"/>
    <w:semiHidden/>
    <w:unhideWhenUsed/>
    <w:rsid w:val="00EB1D01"/>
    <w:rPr>
      <w:rFonts w:ascii="Times New Roman" w:hAnsi="Times New Roman" w:cs="Times New Roman"/>
      <w:sz w:val="24"/>
      <w:szCs w:val="24"/>
    </w:rPr>
  </w:style>
  <w:style w:type="paragraph" w:styleId="Spistreci1">
    <w:name w:val="toc 1"/>
    <w:basedOn w:val="Normalny"/>
    <w:next w:val="Normalny"/>
    <w:autoRedefine/>
    <w:uiPriority w:val="39"/>
    <w:unhideWhenUsed/>
    <w:rsid w:val="00CC6018"/>
    <w:pPr>
      <w:spacing w:after="100"/>
    </w:pPr>
  </w:style>
  <w:style w:type="paragraph" w:styleId="Spistreci2">
    <w:name w:val="toc 2"/>
    <w:basedOn w:val="Normalny"/>
    <w:next w:val="Normalny"/>
    <w:autoRedefine/>
    <w:uiPriority w:val="39"/>
    <w:unhideWhenUsed/>
    <w:rsid w:val="00CC6018"/>
    <w:pPr>
      <w:spacing w:after="100"/>
      <w:ind w:left="19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eader" Target="header1.xml"/><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68</Pages>
  <Words>24271</Words>
  <Characters>145627</Characters>
  <Application>Microsoft Office Word</Application>
  <DocSecurity>0</DocSecurity>
  <Lines>1213</Lines>
  <Paragraphs>339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Indeks Racji Stanu 2025. Między mobilizacją a trwałością</vt:lpstr>
      <vt:lpstr/>
    </vt:vector>
  </TitlesOfParts>
  <Manager/>
  <Company/>
  <LinksUpToDate>false</LinksUpToDate>
  <CharactersWithSpaces>169559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Indeks Racji Stanu 2025 – raport główny</dc:title>
  <dc:subject>Strategiczna diagnoza zdolności państwa polskiego w latach 2020–2025</dc:subject>
  <dc:creator/>
  <cp:keywords>IRS, racja stanu, Polska, bezpieczeństwo, demografia, gospodarka, projekty strategiczne, ład instytucjonalny</cp:keywords>
  <dc:description>Rozdział 17 zastąpiony pełną Agendą racji stanu: osiem priorytetów, analiza zależności, tabela zarządcza i synteza dla kierownictwa państwa.</dc:description>
  <cp:lastModifiedBy>Kamil Fijałkowski</cp:lastModifiedBy>
  <cp:revision>67</cp:revision>
  <dcterms:created xsi:type="dcterms:W3CDTF">2013-12-23T23:15:00Z</dcterms:created>
  <dcterms:modified xsi:type="dcterms:W3CDTF">2026-07-31T19:32:00Z</dcterms:modified>
  <cp:category/>
</cp:coreProperties>
</file>